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E1D9EA" w14:textId="77777777" w:rsidR="009D247E" w:rsidRDefault="009D247E">
      <w:pPr>
        <w:rPr>
          <w:sz w:val="4"/>
          <w:szCs w:val="4"/>
        </w:rPr>
      </w:pPr>
    </w:p>
    <w:tbl>
      <w:tblPr>
        <w:tblW w:w="9635" w:type="dxa"/>
        <w:tblLayout w:type="fixed"/>
        <w:tblCellMar>
          <w:left w:w="0" w:type="dxa"/>
          <w:right w:w="0" w:type="dxa"/>
        </w:tblCellMar>
        <w:tblLook w:val="04A0" w:firstRow="1" w:lastRow="0" w:firstColumn="1" w:lastColumn="0" w:noHBand="0" w:noVBand="1"/>
      </w:tblPr>
      <w:tblGrid>
        <w:gridCol w:w="1477"/>
        <w:gridCol w:w="8158"/>
      </w:tblGrid>
      <w:tr w:rsidR="009D247E" w14:paraId="4B7262B4" w14:textId="77777777">
        <w:tc>
          <w:tcPr>
            <w:tcW w:w="1477" w:type="dxa"/>
          </w:tcPr>
          <w:p w14:paraId="0971A7B9" w14:textId="77777777" w:rsidR="009D247E" w:rsidRDefault="001D11D3">
            <w:pPr>
              <w:pStyle w:val="TableContents"/>
            </w:pPr>
            <w:r>
              <w:rPr>
                <w:noProof/>
              </w:rPr>
              <w:drawing>
                <wp:anchor distT="0" distB="0" distL="114935" distR="114935" simplePos="0" relativeHeight="2" behindDoc="1" locked="0" layoutInCell="1" allowOverlap="1" wp14:anchorId="7A671A05" wp14:editId="605E1F6F">
                  <wp:simplePos x="0" y="0"/>
                  <wp:positionH relativeFrom="column">
                    <wp:posOffset>1270</wp:posOffset>
                  </wp:positionH>
                  <wp:positionV relativeFrom="paragraph">
                    <wp:posOffset>-4445</wp:posOffset>
                  </wp:positionV>
                  <wp:extent cx="894080" cy="89535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5"/>
                          <a:srcRect l="-40" t="-40" r="-40" b="-40"/>
                          <a:stretch>
                            <a:fillRect/>
                          </a:stretch>
                        </pic:blipFill>
                        <pic:spPr bwMode="auto">
                          <a:xfrm>
                            <a:off x="0" y="0"/>
                            <a:ext cx="894080" cy="895350"/>
                          </a:xfrm>
                          <a:prstGeom prst="rect">
                            <a:avLst/>
                          </a:prstGeom>
                        </pic:spPr>
                      </pic:pic>
                    </a:graphicData>
                  </a:graphic>
                </wp:anchor>
              </w:drawing>
            </w:r>
          </w:p>
        </w:tc>
        <w:tc>
          <w:tcPr>
            <w:tcW w:w="8158" w:type="dxa"/>
          </w:tcPr>
          <w:p w14:paraId="683C2325" w14:textId="77777777" w:rsidR="009D247E" w:rsidRDefault="001D11D3">
            <w:pPr>
              <w:tabs>
                <w:tab w:val="left" w:pos="1447"/>
              </w:tabs>
              <w:ind w:left="37" w:hanging="37"/>
              <w:rPr>
                <w:rFonts w:ascii="Calibri" w:hAnsi="Calibri" w:cs="Calibri"/>
                <w:smallCaps/>
                <w:color w:val="808080"/>
                <w:sz w:val="34"/>
                <w:szCs w:val="34"/>
              </w:rPr>
            </w:pPr>
            <w:r>
              <w:rPr>
                <w:rFonts w:ascii="Calibri" w:hAnsi="Calibri" w:cs="Calibri"/>
                <w:smallCaps/>
                <w:color w:val="808080"/>
                <w:sz w:val="34"/>
                <w:szCs w:val="34"/>
              </w:rPr>
              <w:t>Commune de SAINTE-ODE</w:t>
            </w:r>
            <w:r>
              <w:rPr>
                <w:noProof/>
              </w:rPr>
              <mc:AlternateContent>
                <mc:Choice Requires="wps">
                  <w:drawing>
                    <wp:anchor distT="72390" distB="72390" distL="72390" distR="72390" simplePos="0" relativeHeight="4" behindDoc="0" locked="0" layoutInCell="0" allowOverlap="1" wp14:anchorId="15E8DBA4" wp14:editId="213ECECA">
                      <wp:simplePos x="0" y="0"/>
                      <wp:positionH relativeFrom="column">
                        <wp:posOffset>4557395</wp:posOffset>
                      </wp:positionH>
                      <wp:positionV relativeFrom="paragraph">
                        <wp:posOffset>635</wp:posOffset>
                      </wp:positionV>
                      <wp:extent cx="629920" cy="629920"/>
                      <wp:effectExtent l="0" t="0" r="0" b="0"/>
                      <wp:wrapNone/>
                      <wp:docPr id="2" name="Cadre1"/>
                      <wp:cNvGraphicFramePr/>
                      <a:graphic xmlns:a="http://schemas.openxmlformats.org/drawingml/2006/main">
                        <a:graphicData uri="http://schemas.microsoft.com/office/word/2010/wordprocessingShape">
                          <wps:wsp>
                            <wps:cNvSpPr txBox="1"/>
                            <wps:spPr>
                              <a:xfrm>
                                <a:off x="0" y="0"/>
                                <a:ext cx="629920" cy="629920"/>
                              </a:xfrm>
                              <a:prstGeom prst="rect">
                                <a:avLst/>
                              </a:prstGeom>
                              <a:solidFill>
                                <a:srgbClr val="FFFFFF"/>
                              </a:solidFill>
                            </wps:spPr>
                            <wps:txbx>
                              <w:txbxContent>
                                <w:p w14:paraId="228F22D5" w14:textId="77777777" w:rsidR="009D247E" w:rsidRDefault="009D247E">
                                  <w:pPr>
                                    <w:pStyle w:val="FrameContents"/>
                                  </w:pPr>
                                </w:p>
                              </w:txbxContent>
                            </wps:txbx>
                            <wps:bodyPr lIns="0" tIns="0" rIns="0" bIns="0" anchor="t">
                              <a:noAutofit/>
                            </wps:bodyPr>
                          </wps:wsp>
                        </a:graphicData>
                      </a:graphic>
                    </wp:anchor>
                  </w:drawing>
                </mc:Choice>
                <mc:Fallback>
                  <w:pict>
                    <v:rect style="position:absolute;rotation:-0;width:49.6pt;height:49.6pt;mso-wrap-distance-left:5.7pt;mso-wrap-distance-right:5.7pt;mso-wrap-distance-top:5.7pt;mso-wrap-distance-bottom:5.7pt;margin-top:0pt;mso-position-vertical-relative:text;margin-left:358.85pt;mso-position-horizontal-relative:text">
                      <v:textbox inset="0in,0in,0in,0in">
                        <w:txbxContent>
                          <w:p>
                            <w:pPr>
                              <w:pStyle w:val="FrameContents"/>
                              <w:bidi w:val="0"/>
                              <w:jc w:val="left"/>
                              <w:rPr/>
                            </w:pPr>
                            <w:r>
                              <w:rPr/>
                            </w:r>
                          </w:p>
                        </w:txbxContent>
                      </v:textbox>
                      <w10:wrap type="none"/>
                    </v:rect>
                  </w:pict>
                </mc:Fallback>
              </mc:AlternateContent>
            </w:r>
          </w:p>
          <w:p w14:paraId="661D3275" w14:textId="77777777" w:rsidR="009D247E" w:rsidRDefault="001D11D3">
            <w:pPr>
              <w:tabs>
                <w:tab w:val="center" w:pos="4536"/>
                <w:tab w:val="right" w:pos="9072"/>
              </w:tabs>
              <w:spacing w:before="120"/>
              <w:rPr>
                <w:rFonts w:ascii="Calibri" w:hAnsi="Calibri" w:cs="Calibri"/>
                <w:smallCaps/>
                <w:color w:val="808080"/>
                <w:sz w:val="18"/>
                <w:szCs w:val="18"/>
              </w:rPr>
            </w:pPr>
            <w:r>
              <w:rPr>
                <w:noProof/>
              </w:rPr>
              <mc:AlternateContent>
                <mc:Choice Requires="wps">
                  <w:drawing>
                    <wp:anchor distT="0" distB="0" distL="114935" distR="114935" simplePos="0" relativeHeight="3" behindDoc="0" locked="0" layoutInCell="1" allowOverlap="1" wp14:anchorId="018FD54E" wp14:editId="05F6D47A">
                      <wp:simplePos x="0" y="0"/>
                      <wp:positionH relativeFrom="column">
                        <wp:posOffset>18415</wp:posOffset>
                      </wp:positionH>
                      <wp:positionV relativeFrom="paragraph">
                        <wp:posOffset>29845</wp:posOffset>
                      </wp:positionV>
                      <wp:extent cx="1418590" cy="0"/>
                      <wp:effectExtent l="635" t="6350" r="635" b="6985"/>
                      <wp:wrapNone/>
                      <wp:docPr id="3" name="Connecteur droit 3"/>
                      <wp:cNvGraphicFramePr/>
                      <a:graphic xmlns:a="http://schemas.openxmlformats.org/drawingml/2006/main">
                        <a:graphicData uri="http://schemas.microsoft.com/office/word/2010/wordprocessingShape">
                          <wps:wsp>
                            <wps:cNvCnPr/>
                            <wps:spPr>
                              <a:xfrm>
                                <a:off x="0" y="0"/>
                                <a:ext cx="1418760" cy="0"/>
                              </a:xfrm>
                              <a:prstGeom prst="line">
                                <a:avLst/>
                              </a:prstGeom>
                              <a:ln w="12600">
                                <a:solidFill>
                                  <a:srgbClr val="4A7EBB"/>
                                </a:solidFill>
                                <a:miter/>
                              </a:ln>
                            </wps:spPr>
                            <wps:style>
                              <a:lnRef idx="0">
                                <a:scrgbClr r="0" g="0" b="0"/>
                              </a:lnRef>
                              <a:fillRef idx="0">
                                <a:scrgbClr r="0" g="0" b="0"/>
                              </a:fillRef>
                              <a:effectRef idx="0">
                                <a:scrgbClr r="0" g="0" b="0"/>
                              </a:effectRef>
                              <a:fontRef idx="minor"/>
                            </wps:style>
                            <wps:bodyPr/>
                          </wps:wsp>
                        </a:graphicData>
                      </a:graphic>
                    </wp:anchor>
                  </w:drawing>
                </mc:Choice>
                <mc:Fallback>
                  <w:pict>
                    <v:line id="shape_0" from="1.45pt,2.35pt" to="113.1pt,2.35pt" ID="Connecteur droit 3" stroked="t" o:allowincell="t" style="position:absolute">
                      <v:stroke color="#4a7ebb" weight="12600" joinstyle="miter" endcap="flat"/>
                      <v:fill o:detectmouseclick="t" on="false"/>
                      <w10:wrap type="none"/>
                    </v:line>
                  </w:pict>
                </mc:Fallback>
              </mc:AlternateContent>
            </w:r>
            <w:r>
              <w:rPr>
                <w:rFonts w:ascii="Calibri" w:hAnsi="Calibri" w:cs="Calibri"/>
                <w:smallCaps/>
                <w:color w:val="808080"/>
                <w:sz w:val="18"/>
                <w:szCs w:val="18"/>
              </w:rPr>
              <w:t>Arrondissement de BASTOGNE</w:t>
            </w:r>
          </w:p>
          <w:p w14:paraId="0925A18D" w14:textId="77777777" w:rsidR="009D247E" w:rsidRDefault="001D11D3">
            <w:pPr>
              <w:tabs>
                <w:tab w:val="center" w:pos="4536"/>
                <w:tab w:val="right" w:pos="9072"/>
              </w:tabs>
              <w:rPr>
                <w:rFonts w:ascii="Calibri" w:hAnsi="Calibri" w:cs="Calibri"/>
                <w:smallCaps/>
                <w:color w:val="808080"/>
                <w:sz w:val="18"/>
                <w:szCs w:val="18"/>
              </w:rPr>
            </w:pPr>
            <w:r>
              <w:rPr>
                <w:rFonts w:ascii="Calibri" w:hAnsi="Calibri" w:cs="Calibri"/>
                <w:smallCaps/>
                <w:color w:val="808080"/>
                <w:sz w:val="18"/>
                <w:szCs w:val="18"/>
              </w:rPr>
              <w:t>Province de LUXEMBOURG</w:t>
            </w:r>
          </w:p>
          <w:p w14:paraId="03B3590C" w14:textId="77777777" w:rsidR="009D247E" w:rsidRDefault="001D11D3">
            <w:pPr>
              <w:tabs>
                <w:tab w:val="center" w:pos="4536"/>
                <w:tab w:val="right" w:pos="9072"/>
              </w:tabs>
              <w:jc w:val="both"/>
              <w:rPr>
                <w:rFonts w:ascii="Calibri" w:hAnsi="Calibri" w:cs="Calibri"/>
                <w:b/>
                <w:bCs/>
                <w:smallCaps/>
                <w:color w:val="808080"/>
                <w:sz w:val="18"/>
                <w:szCs w:val="18"/>
              </w:rPr>
            </w:pPr>
            <w:r>
              <w:rPr>
                <w:rFonts w:ascii="Calibri" w:hAnsi="Calibri" w:cs="Calibri"/>
                <w:b/>
                <w:bCs/>
                <w:smallCaps/>
                <w:color w:val="808080"/>
                <w:sz w:val="18"/>
                <w:szCs w:val="18"/>
              </w:rPr>
              <w:t>Royaume de BELGIQUE</w:t>
            </w:r>
          </w:p>
          <w:p w14:paraId="126BC507" w14:textId="77777777" w:rsidR="009D247E" w:rsidRDefault="009D247E">
            <w:pPr>
              <w:tabs>
                <w:tab w:val="center" w:pos="4536"/>
                <w:tab w:val="right" w:pos="9072"/>
              </w:tabs>
              <w:jc w:val="both"/>
              <w:rPr>
                <w:rFonts w:ascii="Calibri" w:hAnsi="Calibri" w:cs="Calibri"/>
                <w:b/>
                <w:bCs/>
                <w:smallCaps/>
                <w:color w:val="808080"/>
                <w:sz w:val="18"/>
                <w:szCs w:val="18"/>
              </w:rPr>
            </w:pPr>
          </w:p>
        </w:tc>
      </w:tr>
    </w:tbl>
    <w:p w14:paraId="7E415FF7" w14:textId="77777777" w:rsidR="009D247E" w:rsidRDefault="009D247E">
      <w:pPr>
        <w:tabs>
          <w:tab w:val="left" w:pos="1447"/>
        </w:tabs>
        <w:ind w:left="37" w:hanging="37"/>
        <w:rPr>
          <w:rFonts w:ascii="Cardana" w:hAnsi="Cardana" w:cs="Arial"/>
          <w:b/>
          <w:bCs/>
          <w:szCs w:val="22"/>
        </w:rPr>
      </w:pPr>
    </w:p>
    <w:p w14:paraId="2D0B78FF" w14:textId="77777777" w:rsidR="009D247E" w:rsidRDefault="001D11D3">
      <w:pPr>
        <w:jc w:val="center"/>
        <w:rPr>
          <w:rFonts w:ascii="Cardana" w:hAnsi="Cardana"/>
        </w:rPr>
      </w:pPr>
      <w:r>
        <w:rPr>
          <w:rFonts w:ascii="Cardana" w:hAnsi="Cardana" w:cs="Arial"/>
          <w:b/>
          <w:bCs/>
          <w:szCs w:val="22"/>
        </w:rPr>
        <w:t xml:space="preserve">Extrait du procès-verbal de la séance du Conseil communal du </w:t>
      </w:r>
      <w:r>
        <w:rPr>
          <w:rFonts w:ascii="Cardana" w:hAnsi="Cardana" w:cs="Arial"/>
          <w:b/>
          <w:bCs/>
          <w:szCs w:val="22"/>
        </w:rPr>
        <w:t>11 juillet 2024</w:t>
      </w:r>
    </w:p>
    <w:p w14:paraId="2C2DA8A1" w14:textId="77777777" w:rsidR="009D247E" w:rsidRDefault="009D247E">
      <w:pPr>
        <w:jc w:val="both"/>
        <w:rPr>
          <w:rFonts w:ascii="Cardana" w:hAnsi="Cardana" w:cs="Arial"/>
          <w:b/>
          <w:bCs/>
          <w:szCs w:val="22"/>
        </w:rPr>
      </w:pPr>
    </w:p>
    <w:p w14:paraId="6EAAE1BB" w14:textId="77777777" w:rsidR="009D247E" w:rsidRDefault="001D11D3">
      <w:r>
        <w:rPr>
          <w:rStyle w:val="wXS1pod"/>
        </w:rPr>
        <w:t>Présents :</w:t>
      </w:r>
      <w:r>
        <w:br/>
        <w:t xml:space="preserve">Mme Andréa DUPLICY, Conseillère - </w:t>
      </w:r>
      <w:proofErr w:type="gramStart"/>
      <w:r>
        <w:t>Présidente;</w:t>
      </w:r>
      <w:proofErr w:type="gramEnd"/>
      <w:r>
        <w:br/>
        <w:t xml:space="preserve">M. Pierre </w:t>
      </w:r>
      <w:r>
        <w:t>PIRARD, Bourgmestre;</w:t>
      </w:r>
      <w:r>
        <w:br/>
        <w:t>M. Christophe THIRY, M. Jean-Pol MISSON, Mme Catherine POOS, Échevins;</w:t>
      </w:r>
      <w:r>
        <w:br/>
        <w:t>Mme Laurence HENROTTE, Présidente du CPAS;</w:t>
      </w:r>
      <w:r>
        <w:br/>
        <w:t xml:space="preserve">M. Joël TANGHE, Mme Marie DESSE, </w:t>
      </w:r>
      <w:r>
        <w:rPr>
          <w:rStyle w:val="wXS2pod"/>
        </w:rPr>
        <w:t>M. Loïc ZABUS</w:t>
      </w:r>
      <w:r>
        <w:t>, Mme Elisabeth LEBAILLY, M. Johnny MACOIR, Conseillers;</w:t>
      </w:r>
      <w:r>
        <w:br/>
        <w:t>Mme Charlotte LEDUC, Directrice générale;</w:t>
      </w:r>
    </w:p>
    <w:p w14:paraId="2CA2BA72" w14:textId="77777777" w:rsidR="009D247E" w:rsidRDefault="009D247E">
      <w:pPr>
        <w:jc w:val="both"/>
        <w:rPr>
          <w:rFonts w:ascii="Cardana" w:hAnsi="Cardana" w:cs="Arial"/>
          <w:szCs w:val="22"/>
        </w:rPr>
      </w:pPr>
    </w:p>
    <w:p w14:paraId="79D77676" w14:textId="77777777" w:rsidR="009D247E" w:rsidRDefault="001D11D3">
      <w:pPr>
        <w:tabs>
          <w:tab w:val="left" w:pos="1702"/>
        </w:tabs>
        <w:ind w:left="851" w:hanging="851"/>
        <w:jc w:val="both"/>
        <w:rPr>
          <w:rFonts w:ascii="Cardana" w:hAnsi="Cardana"/>
        </w:rPr>
      </w:pPr>
      <w:r>
        <w:rPr>
          <w:rFonts w:ascii="Cardana" w:hAnsi="Cardana" w:cs="Arial"/>
          <w:b/>
          <w:bCs/>
          <w:szCs w:val="22"/>
          <w:u w:val="single"/>
        </w:rPr>
        <w:t>OBJET</w:t>
      </w:r>
      <w:r>
        <w:rPr>
          <w:rFonts w:ascii="Cardana" w:hAnsi="Cardana" w:cs="Arial"/>
          <w:b/>
          <w:bCs/>
          <w:szCs w:val="22"/>
        </w:rPr>
        <w:t> : Règlement d’ordre intérieur pour la location de la salle Ancienne école à Lavacherie</w:t>
      </w:r>
    </w:p>
    <w:p w14:paraId="59E87EE8" w14:textId="77777777" w:rsidR="009D247E" w:rsidRDefault="001D11D3">
      <w:pPr>
        <w:tabs>
          <w:tab w:val="left" w:pos="1702"/>
        </w:tabs>
        <w:ind w:left="851" w:hanging="851"/>
        <w:jc w:val="both"/>
        <w:rPr>
          <w:rFonts w:ascii="Cardana" w:hAnsi="Cardana"/>
        </w:rPr>
      </w:pPr>
      <w:r>
        <w:rPr>
          <w:rFonts w:ascii="Cardana" w:hAnsi="Cardana" w:cs="Arial"/>
          <w:sz w:val="20"/>
        </w:rPr>
        <w:t xml:space="preserve">Réf. Service Population / Etat civil / Etrangers / Cimetière - </w:t>
      </w:r>
      <w:proofErr w:type="spellStart"/>
      <w:r>
        <w:rPr>
          <w:rFonts w:ascii="Cardana" w:hAnsi="Cardana" w:cs="Arial"/>
          <w:sz w:val="20"/>
        </w:rPr>
        <w:t>CLe</w:t>
      </w:r>
      <w:proofErr w:type="spellEnd"/>
    </w:p>
    <w:p w14:paraId="475975CE" w14:textId="77777777" w:rsidR="009D247E" w:rsidRDefault="009D247E">
      <w:pPr>
        <w:jc w:val="both"/>
        <w:rPr>
          <w:rFonts w:ascii="Cardana" w:hAnsi="Cardana" w:cs="Arial"/>
          <w:szCs w:val="22"/>
        </w:rPr>
      </w:pPr>
    </w:p>
    <w:p w14:paraId="4E092C6A" w14:textId="77777777" w:rsidR="009D247E" w:rsidRDefault="009D247E">
      <w:pPr>
        <w:jc w:val="both"/>
        <w:rPr>
          <w:rFonts w:ascii="Cardana" w:hAnsi="Cardana" w:cs="Arial"/>
          <w:szCs w:val="22"/>
        </w:rPr>
      </w:pPr>
    </w:p>
    <w:p w14:paraId="50F9AA69" w14:textId="77777777" w:rsidR="009D247E" w:rsidRDefault="001D11D3">
      <w:pPr>
        <w:jc w:val="both"/>
        <w:rPr>
          <w:rFonts w:ascii="Cardana" w:hAnsi="Cardana"/>
        </w:rPr>
      </w:pPr>
      <w:r>
        <w:rPr>
          <w:rFonts w:ascii="Cardana" w:hAnsi="Cardana" w:cs="Arial"/>
          <w:szCs w:val="22"/>
        </w:rPr>
        <w:t xml:space="preserve">Le Conseil communal, en séance publique, </w:t>
      </w:r>
    </w:p>
    <w:p w14:paraId="150B5810" w14:textId="77777777" w:rsidR="009D247E" w:rsidRDefault="009D247E">
      <w:pPr>
        <w:jc w:val="both"/>
        <w:rPr>
          <w:rFonts w:ascii="Cardana" w:hAnsi="Cardana" w:cs="Times New Roman"/>
          <w:b/>
          <w:szCs w:val="22"/>
          <w:u w:val="single"/>
        </w:rPr>
      </w:pPr>
    </w:p>
    <w:p w14:paraId="6F3E1016" w14:textId="77777777" w:rsidR="009D247E" w:rsidRDefault="001D11D3">
      <w:r>
        <w:t xml:space="preserve">Vu les articles L1122-30 et L1122-32 du Code de la démocratie locale et de la </w:t>
      </w:r>
      <w:proofErr w:type="gramStart"/>
      <w:r>
        <w:t>décentralisation;</w:t>
      </w:r>
      <w:proofErr w:type="gramEnd"/>
    </w:p>
    <w:p w14:paraId="27A1BEBB" w14:textId="77777777" w:rsidR="001D11D3" w:rsidRDefault="001D11D3" w:rsidP="001D11D3">
      <w:pPr>
        <w:jc w:val="both"/>
      </w:pPr>
    </w:p>
    <w:p w14:paraId="3AFC17A0" w14:textId="77777777" w:rsidR="009D247E" w:rsidRDefault="001D11D3" w:rsidP="001D11D3">
      <w:pPr>
        <w:jc w:val="both"/>
      </w:pPr>
      <w:r>
        <w:t xml:space="preserve">Vu le règlement d’ordre intérieur pour la location de la salle Saint Ouen à Tillet, des salles de l’accueil extrascolaire à </w:t>
      </w:r>
      <w:proofErr w:type="spellStart"/>
      <w:r>
        <w:t>Tonny</w:t>
      </w:r>
      <w:proofErr w:type="spellEnd"/>
      <w:r>
        <w:t xml:space="preserve"> et de la salle de l’ancienne école de Lavacherie du 26 septembre 2023, tel qu'abrogé par le Conseil lors de cette même </w:t>
      </w:r>
      <w:proofErr w:type="gramStart"/>
      <w:r>
        <w:t>séance;</w:t>
      </w:r>
      <w:proofErr w:type="gramEnd"/>
    </w:p>
    <w:p w14:paraId="5284588F" w14:textId="77777777" w:rsidR="001D11D3" w:rsidRDefault="001D11D3" w:rsidP="001D11D3">
      <w:pPr>
        <w:jc w:val="both"/>
      </w:pPr>
    </w:p>
    <w:p w14:paraId="742323DF" w14:textId="77777777" w:rsidR="009D247E" w:rsidRDefault="001D11D3" w:rsidP="001D11D3">
      <w:pPr>
        <w:jc w:val="both"/>
      </w:pPr>
      <w:r>
        <w:t xml:space="preserve">Vu les adaptations pratiques à prévoir dans le règlement d'ordre intérieur, mais spécifique à chaque </w:t>
      </w:r>
      <w:proofErr w:type="gramStart"/>
      <w:r>
        <w:t>salle;</w:t>
      </w:r>
      <w:proofErr w:type="gramEnd"/>
    </w:p>
    <w:p w14:paraId="35885FDC" w14:textId="77777777" w:rsidR="001D11D3" w:rsidRDefault="001D11D3" w:rsidP="001D11D3">
      <w:pPr>
        <w:jc w:val="both"/>
      </w:pPr>
    </w:p>
    <w:p w14:paraId="03241E8C" w14:textId="4BD2403B" w:rsidR="009D247E" w:rsidRDefault="001D11D3" w:rsidP="001D11D3">
      <w:pPr>
        <w:jc w:val="both"/>
      </w:pPr>
      <w:r>
        <w:t>Vu les spécificités</w:t>
      </w:r>
      <w:r>
        <w:t xml:space="preserve"> de la salle de </w:t>
      </w:r>
      <w:proofErr w:type="gramStart"/>
      <w:r>
        <w:t>Lavacherie;</w:t>
      </w:r>
      <w:proofErr w:type="gramEnd"/>
    </w:p>
    <w:p w14:paraId="22E36F86" w14:textId="50DF73CB" w:rsidR="009D247E" w:rsidRDefault="001D11D3" w:rsidP="001D11D3">
      <w:r>
        <w:t> </w:t>
      </w:r>
    </w:p>
    <w:p w14:paraId="0A3A3E3A" w14:textId="77777777" w:rsidR="009D247E" w:rsidRDefault="009D247E"/>
    <w:p w14:paraId="7771E2AD" w14:textId="77777777" w:rsidR="009D247E" w:rsidRDefault="001D11D3">
      <w:proofErr w:type="gramStart"/>
      <w:r>
        <w:rPr>
          <w:rStyle w:val="wXS3pod"/>
        </w:rPr>
        <w:t>ARRÊTE:</w:t>
      </w:r>
      <w:proofErr w:type="gramEnd"/>
      <w:r>
        <w:rPr>
          <w:rStyle w:val="wXS3pod"/>
        </w:rPr>
        <w:t xml:space="preserve"> </w:t>
      </w:r>
    </w:p>
    <w:p w14:paraId="6711FC1C" w14:textId="77777777" w:rsidR="009D247E" w:rsidRDefault="001D11D3">
      <w:r>
        <w:t> </w:t>
      </w:r>
    </w:p>
    <w:p w14:paraId="3801A25A" w14:textId="77777777" w:rsidR="009D247E" w:rsidRDefault="001D11D3">
      <w:r>
        <w:rPr>
          <w:rStyle w:val="wXS4pod"/>
        </w:rPr>
        <w:t xml:space="preserve">I. Champ d'application </w:t>
      </w:r>
    </w:p>
    <w:p w14:paraId="31BE2AEA" w14:textId="77777777" w:rsidR="009D247E" w:rsidRDefault="001D11D3">
      <w:r>
        <w:t> </w:t>
      </w:r>
    </w:p>
    <w:p w14:paraId="67813324" w14:textId="77777777" w:rsidR="009D247E" w:rsidRDefault="001D11D3">
      <w:pPr>
        <w:pStyle w:val="wXS5pod"/>
      </w:pPr>
      <w:r>
        <w:t>Article 1er - Le présent règlement d’ordre intérieur s'applique aux locations de la salle l'ancienne école à Lavacherie.</w:t>
      </w:r>
    </w:p>
    <w:p w14:paraId="6293C7A4" w14:textId="77777777" w:rsidR="009D247E" w:rsidRDefault="001D11D3">
      <w:pPr>
        <w:pStyle w:val="wXS5pod"/>
      </w:pPr>
      <w:r>
        <w:t>Il s’applique à toute personne qui fréquente cette salle, soit en qualité de locataire, soit en qualité de visiteur.</w:t>
      </w:r>
    </w:p>
    <w:p w14:paraId="5A5EB711" w14:textId="77777777" w:rsidR="009D247E" w:rsidRDefault="001D11D3">
      <w:pPr>
        <w:pStyle w:val="wXS5pod"/>
      </w:pPr>
      <w:r>
        <w:t>Ce règlement est affiché dans le hall d’entrée de la salle.</w:t>
      </w:r>
    </w:p>
    <w:p w14:paraId="7EA1F4DE" w14:textId="77777777" w:rsidR="009D247E" w:rsidRDefault="001D11D3">
      <w:pPr>
        <w:pStyle w:val="wXS5pod"/>
      </w:pPr>
      <w:r>
        <w:t> </w:t>
      </w:r>
    </w:p>
    <w:p w14:paraId="263BE5DB" w14:textId="77777777" w:rsidR="009D247E" w:rsidRDefault="001D11D3">
      <w:pPr>
        <w:pStyle w:val="wXS5pod"/>
      </w:pPr>
      <w:r>
        <w:rPr>
          <w:rStyle w:val="wXS4pod"/>
        </w:rPr>
        <w:t>II. Réservations</w:t>
      </w:r>
    </w:p>
    <w:p w14:paraId="62EDCA1D" w14:textId="77777777" w:rsidR="009D247E" w:rsidRDefault="001D11D3">
      <w:pPr>
        <w:pStyle w:val="wXS5pod"/>
      </w:pPr>
      <w:r>
        <w:t> </w:t>
      </w:r>
    </w:p>
    <w:p w14:paraId="576FA648" w14:textId="77777777" w:rsidR="009D247E" w:rsidRDefault="001D11D3">
      <w:pPr>
        <w:pStyle w:val="wXS5pod"/>
      </w:pPr>
      <w:r>
        <w:t>Article 2 - Les demandes de réservation de la salle sont introduites auprès du service des salles de la Commune (service gestionnaire).</w:t>
      </w:r>
    </w:p>
    <w:p w14:paraId="714AF9A3" w14:textId="77777777" w:rsidR="009D247E" w:rsidRDefault="001D11D3">
      <w:pPr>
        <w:pStyle w:val="wXS5pod"/>
      </w:pPr>
      <w:r>
        <w:t xml:space="preserve">En cas dégâts, troubles ou </w:t>
      </w:r>
      <w:r>
        <w:t>manquements constatés lors d’une précédente occupation par le candidat locataire, le Collège communal devra valider la location. Conformément à l'article 23, une interdiction de location peut être décidée par le Collège communal.</w:t>
      </w:r>
    </w:p>
    <w:p w14:paraId="6457C81E" w14:textId="77777777" w:rsidR="009D247E" w:rsidRDefault="001D11D3">
      <w:pPr>
        <w:pStyle w:val="wXS6pod"/>
      </w:pPr>
      <w:r>
        <w:t> </w:t>
      </w:r>
    </w:p>
    <w:p w14:paraId="16A501F0" w14:textId="77777777" w:rsidR="009D247E" w:rsidRDefault="001D11D3">
      <w:r>
        <w:t>Article 3 - Un contrat de location est signé en deux exemplaires entre le locataire et la Commune.</w:t>
      </w:r>
    </w:p>
    <w:p w14:paraId="53482243" w14:textId="77777777" w:rsidR="009D247E" w:rsidRDefault="001D11D3">
      <w:r>
        <w:t> </w:t>
      </w:r>
    </w:p>
    <w:p w14:paraId="295514F8" w14:textId="77777777" w:rsidR="001D11D3" w:rsidRDefault="001D11D3" w:rsidP="001D11D3">
      <w:pPr>
        <w:jc w:val="both"/>
      </w:pPr>
    </w:p>
    <w:p w14:paraId="1633A675" w14:textId="77777777" w:rsidR="001D11D3" w:rsidRDefault="001D11D3" w:rsidP="001D11D3">
      <w:pPr>
        <w:jc w:val="both"/>
      </w:pPr>
    </w:p>
    <w:p w14:paraId="602FE422" w14:textId="77777777" w:rsidR="001D11D3" w:rsidRDefault="001D11D3" w:rsidP="001D11D3">
      <w:pPr>
        <w:jc w:val="both"/>
      </w:pPr>
    </w:p>
    <w:p w14:paraId="11574886" w14:textId="77777777" w:rsidR="009D247E" w:rsidRDefault="001D11D3" w:rsidP="001D11D3">
      <w:pPr>
        <w:pStyle w:val="wXS5pod"/>
      </w:pPr>
      <w:r>
        <w:rPr>
          <w:rStyle w:val="wXS4pod"/>
        </w:rPr>
        <w:lastRenderedPageBreak/>
        <w:t>III. Périodes de location</w:t>
      </w:r>
    </w:p>
    <w:p w14:paraId="5C85EA89" w14:textId="77777777" w:rsidR="009D247E" w:rsidRDefault="001D11D3" w:rsidP="001D11D3">
      <w:pPr>
        <w:pStyle w:val="wXS5pod"/>
      </w:pPr>
      <w:r>
        <w:t> </w:t>
      </w:r>
    </w:p>
    <w:p w14:paraId="188369E8" w14:textId="77777777" w:rsidR="009D247E" w:rsidRDefault="001D11D3" w:rsidP="001D11D3">
      <w:pPr>
        <w:pStyle w:val="wXS5pod"/>
      </w:pPr>
      <w:r>
        <w:t xml:space="preserve">Article 4 - Les locations sont </w:t>
      </w:r>
      <w:proofErr w:type="gramStart"/>
      <w:r>
        <w:t>consenties:</w:t>
      </w:r>
      <w:proofErr w:type="gramEnd"/>
    </w:p>
    <w:p w14:paraId="04829E7C" w14:textId="77777777" w:rsidR="009D247E" w:rsidRDefault="001D11D3" w:rsidP="001D11D3">
      <w:pPr>
        <w:pStyle w:val="wXS7pod"/>
        <w:tabs>
          <w:tab w:val="left" w:pos="922"/>
        </w:tabs>
      </w:pPr>
      <w:r>
        <w:t>Les weekends du vendredi 15 heures au lundi 9 heures</w:t>
      </w:r>
    </w:p>
    <w:p w14:paraId="2206AD2D" w14:textId="77777777" w:rsidR="009D247E" w:rsidRDefault="001D11D3" w:rsidP="001D11D3">
      <w:pPr>
        <w:pStyle w:val="wXS7pod"/>
        <w:tabs>
          <w:tab w:val="left" w:pos="922"/>
        </w:tabs>
      </w:pPr>
      <w:r>
        <w:t xml:space="preserve">Les jours fériés depuis le précédent jour </w:t>
      </w:r>
      <w:r>
        <w:t xml:space="preserve">ouvrable 15 heures au premier jour ouvrable suivant le jour férié 9 </w:t>
      </w:r>
      <w:proofErr w:type="gramStart"/>
      <w:r>
        <w:t>heures;</w:t>
      </w:r>
      <w:proofErr w:type="gramEnd"/>
    </w:p>
    <w:p w14:paraId="752E5EAD" w14:textId="77777777" w:rsidR="009D247E" w:rsidRDefault="001D11D3" w:rsidP="001D11D3">
      <w:pPr>
        <w:pStyle w:val="wXS7pod"/>
        <w:tabs>
          <w:tab w:val="left" w:pos="922"/>
        </w:tabs>
      </w:pPr>
      <w:r>
        <w:t xml:space="preserve">Les réveillons (24 ou 31 décembre) du jour du réveillon 15 heures au premier jour ouvrable suivant le réveillon 9 </w:t>
      </w:r>
      <w:proofErr w:type="gramStart"/>
      <w:r>
        <w:t>heures;</w:t>
      </w:r>
      <w:proofErr w:type="gramEnd"/>
    </w:p>
    <w:p w14:paraId="0EF3100E" w14:textId="77777777" w:rsidR="009D247E" w:rsidRDefault="001D11D3" w:rsidP="001D11D3">
      <w:pPr>
        <w:pStyle w:val="wXS7pod"/>
        <w:tabs>
          <w:tab w:val="left" w:pos="922"/>
        </w:tabs>
      </w:pPr>
      <w:r>
        <w:t>Pour une demi-journée pour les enterrements</w:t>
      </w:r>
    </w:p>
    <w:p w14:paraId="1DBBB0A5" w14:textId="77777777" w:rsidR="009D247E" w:rsidRDefault="001D11D3" w:rsidP="001D11D3">
      <w:pPr>
        <w:pStyle w:val="wXS5pod"/>
      </w:pPr>
      <w:r>
        <w:t>Une seule location sera consentie par weekend ou par période weekend complétée par un jour férié.</w:t>
      </w:r>
    </w:p>
    <w:p w14:paraId="44746F53" w14:textId="77777777" w:rsidR="009D247E" w:rsidRDefault="001D11D3" w:rsidP="001D11D3">
      <w:pPr>
        <w:pStyle w:val="wXS5pod"/>
      </w:pPr>
      <w:r>
        <w:t>Le cas échéant, les périodes de disponibilité des salles pourront être adaptées en fonction des possibilités internes de nettoyage.</w:t>
      </w:r>
    </w:p>
    <w:p w14:paraId="41DFA4A2" w14:textId="77777777" w:rsidR="009D247E" w:rsidRDefault="001D11D3" w:rsidP="001D11D3">
      <w:pPr>
        <w:pStyle w:val="wXS5pod"/>
      </w:pPr>
      <w:r>
        <w:t> </w:t>
      </w:r>
    </w:p>
    <w:p w14:paraId="3BBBC0C1" w14:textId="77777777" w:rsidR="009D247E" w:rsidRDefault="001D11D3" w:rsidP="001D11D3">
      <w:pPr>
        <w:jc w:val="both"/>
      </w:pPr>
      <w:r>
        <w:rPr>
          <w:rStyle w:val="wXS4pod"/>
        </w:rPr>
        <w:t>IV. Caution, remise des clés et état des lieux</w:t>
      </w:r>
    </w:p>
    <w:p w14:paraId="2CDE8727" w14:textId="77777777" w:rsidR="009D247E" w:rsidRDefault="001D11D3" w:rsidP="001D11D3">
      <w:pPr>
        <w:jc w:val="both"/>
      </w:pPr>
      <w:r>
        <w:t> </w:t>
      </w:r>
    </w:p>
    <w:p w14:paraId="6FF3B13E" w14:textId="77777777" w:rsidR="009D247E" w:rsidRDefault="001D11D3" w:rsidP="001D11D3">
      <w:pPr>
        <w:jc w:val="both"/>
      </w:pPr>
      <w:r>
        <w:t xml:space="preserve">Article 5 - Les clés sont remises au locataire via le boîtier externe prévu à cet effet après validation de la réservation par le paiement de la redevance fixée et paiement de la caution sur le compte de la Commune (BE39 0910 0051 3119 - paiement de la caution à réaliser au minimum 15 jours avant la location). Les clés sont remises, par le locataire, dans le boîtier </w:t>
      </w:r>
      <w:r>
        <w:rPr>
          <w:rStyle w:val="wXS4pod"/>
        </w:rPr>
        <w:t xml:space="preserve">ad hoc </w:t>
      </w:r>
      <w:r>
        <w:t xml:space="preserve">après la location. Le locataire s’engage à ne faire </w:t>
      </w:r>
      <w:r>
        <w:rPr>
          <w:rStyle w:val="wXS8pod"/>
        </w:rPr>
        <w:t>en aucun cas</w:t>
      </w:r>
      <w:r>
        <w:t xml:space="preserve"> reproduire ces clés dont il aura personnellement la responsabilité. Toute perte de celles-ci sera immédiatement signalée au service gestionnaire.</w:t>
      </w:r>
    </w:p>
    <w:p w14:paraId="72E37BB3" w14:textId="77777777" w:rsidR="009D247E" w:rsidRDefault="001D11D3" w:rsidP="001D11D3">
      <w:pPr>
        <w:jc w:val="both"/>
      </w:pPr>
      <w:r>
        <w:t> </w:t>
      </w:r>
    </w:p>
    <w:p w14:paraId="1C0D7CB0" w14:textId="77777777" w:rsidR="009D247E" w:rsidRDefault="001D11D3" w:rsidP="001D11D3">
      <w:pPr>
        <w:jc w:val="both"/>
      </w:pPr>
      <w:r>
        <w:t>Article 6 - Le montant de la caution est fixé à 400 euros.</w:t>
      </w:r>
    </w:p>
    <w:p w14:paraId="4C752CC0" w14:textId="77777777" w:rsidR="009D247E" w:rsidRDefault="001D11D3" w:rsidP="001D11D3">
      <w:pPr>
        <w:pStyle w:val="wXS5pod"/>
      </w:pPr>
      <w:r>
        <w:t>La caution est à verser même en cas de gratuité de location.</w:t>
      </w:r>
    </w:p>
    <w:p w14:paraId="4642A029" w14:textId="77777777" w:rsidR="009D247E" w:rsidRDefault="001D11D3" w:rsidP="001D11D3">
      <w:pPr>
        <w:pStyle w:val="wXS5pod"/>
      </w:pPr>
      <w:r>
        <w:t> </w:t>
      </w:r>
    </w:p>
    <w:p w14:paraId="050719A4" w14:textId="77777777" w:rsidR="009D247E" w:rsidRDefault="001D11D3" w:rsidP="001D11D3">
      <w:pPr>
        <w:jc w:val="both"/>
      </w:pPr>
      <w:r>
        <w:t>Article 7 - Un état des lieux d'entrée est effectué avant la remise des clés. Un état des lieux de sortie est effectué en fin de location. Les états des lieux sont fixés par le service gestionnaire le jour de la prise de cours de la location dans l'après-midi (état des lieux d'entrée) et le jour de fin de location en matinée (état des lieux de sortie). </w:t>
      </w:r>
    </w:p>
    <w:p w14:paraId="7C6F6CC2" w14:textId="77777777" w:rsidR="009D247E" w:rsidRDefault="001D11D3" w:rsidP="001D11D3">
      <w:pPr>
        <w:jc w:val="both"/>
      </w:pPr>
      <w:r>
        <w:t>A défaut pour le locataire de pouvoir se rendre aux états des lieux fixés, l'état des lieux réalisé unilatéralement par la Commune est réputé contradictoire. </w:t>
      </w:r>
    </w:p>
    <w:p w14:paraId="59AC59EB" w14:textId="77777777" w:rsidR="009D247E" w:rsidRDefault="001D11D3" w:rsidP="001D11D3">
      <w:pPr>
        <w:jc w:val="both"/>
      </w:pPr>
      <w:r>
        <w:t xml:space="preserve">Les points ci-après seront particulièrement examinés lors des états des lieux : l’état des locaux, l’état du chauffage et d’éclairage, l'état des toilettes et lavabos ainsi que des extérieurs, le tri et l’évacuation des déchets et des vidanges tant de la salle que des abords. Il est précisé que le nettoyage est réalisé par la Commune mais que la salle doit </w:t>
      </w:r>
      <w:proofErr w:type="spellStart"/>
      <w:r>
        <w:t>remise</w:t>
      </w:r>
      <w:proofErr w:type="spellEnd"/>
      <w:r>
        <w:t xml:space="preserve"> dans son état tel que prévu à l'article 15.</w:t>
      </w:r>
    </w:p>
    <w:p w14:paraId="4402678F" w14:textId="77777777" w:rsidR="009D247E" w:rsidRDefault="001D11D3" w:rsidP="001D11D3">
      <w:pPr>
        <w:jc w:val="both"/>
      </w:pPr>
      <w:r>
        <w:t> </w:t>
      </w:r>
    </w:p>
    <w:p w14:paraId="2B4BB4F6" w14:textId="77777777" w:rsidR="009D247E" w:rsidRDefault="001D11D3" w:rsidP="001D11D3">
      <w:pPr>
        <w:pStyle w:val="wXS5pod"/>
      </w:pPr>
      <w:r>
        <w:t xml:space="preserve">Article 8 - Le locataire qui obtient la disposition des locaux de la salle est responsable des lieux et de tout dommage éventuel y </w:t>
      </w:r>
      <w:r>
        <w:t>provoqué ainsi qu’à son équipement pendant tout le temps de la jouissance. Tout dégât éventuel devra être signalé le plus rapidement possible au service gestionnaire.</w:t>
      </w:r>
    </w:p>
    <w:p w14:paraId="126A1D4F" w14:textId="77777777" w:rsidR="009D247E" w:rsidRDefault="001D11D3" w:rsidP="001D11D3">
      <w:pPr>
        <w:pStyle w:val="wXS5pod"/>
      </w:pPr>
      <w:r>
        <w:t> </w:t>
      </w:r>
    </w:p>
    <w:p w14:paraId="0BF30E4F" w14:textId="77777777" w:rsidR="009D247E" w:rsidRDefault="001D11D3" w:rsidP="001D11D3">
      <w:pPr>
        <w:jc w:val="both"/>
      </w:pPr>
      <w:r>
        <w:t>Article 9 - En l'absence de dégâts, troubles ou manquements, la caution sera rendue au locataire endéans les 2 mois de la location.</w:t>
      </w:r>
    </w:p>
    <w:p w14:paraId="06789F6E" w14:textId="77777777" w:rsidR="009D247E" w:rsidRDefault="001D11D3" w:rsidP="001D11D3">
      <w:pPr>
        <w:pStyle w:val="wXS5pod"/>
      </w:pPr>
      <w:r>
        <w:t>Si des dégâts, troubles ou manquements sont constatés à l’issue de la location, ceux-ci feront l’objet d’une retenue sur le montant de la caution sur base du tarif figurant en annexe 1.</w:t>
      </w:r>
    </w:p>
    <w:p w14:paraId="1975A053" w14:textId="77777777" w:rsidR="001D11D3" w:rsidRDefault="001D11D3" w:rsidP="001D11D3">
      <w:pPr>
        <w:pStyle w:val="wXS5pod"/>
      </w:pPr>
      <w:r>
        <w:t>En outre, en cas de litige avec le voisinage, la Commune de Sainte-Ode se réserve le droit de se retourner contre le locataire et de lui réclamer les dommages et intérêts ou astreintes auxquels la Commune aurait été condamnée relativement à une infraction constatée. Elle se réserve également le droit de retenir une partie ou l’entièreté de la caution pour cette raison.</w:t>
      </w:r>
    </w:p>
    <w:p w14:paraId="5C88F150" w14:textId="509460C6" w:rsidR="009D247E" w:rsidRDefault="001D11D3" w:rsidP="001D11D3">
      <w:pPr>
        <w:pStyle w:val="wXS5pod"/>
      </w:pPr>
      <w:r>
        <w:t> </w:t>
      </w:r>
    </w:p>
    <w:p w14:paraId="0C9E664D" w14:textId="77777777" w:rsidR="009D247E" w:rsidRDefault="001D11D3" w:rsidP="001D11D3">
      <w:pPr>
        <w:pStyle w:val="wXS5pod"/>
      </w:pPr>
      <w:r>
        <w:rPr>
          <w:rStyle w:val="wXS4pod"/>
        </w:rPr>
        <w:t>V. Droits et obligations</w:t>
      </w:r>
    </w:p>
    <w:p w14:paraId="33C76274" w14:textId="77777777" w:rsidR="009D247E" w:rsidRDefault="001D11D3" w:rsidP="001D11D3">
      <w:pPr>
        <w:pStyle w:val="wXS5pod"/>
      </w:pPr>
      <w:r>
        <w:t> </w:t>
      </w:r>
    </w:p>
    <w:p w14:paraId="0318C4C0" w14:textId="77777777" w:rsidR="009D247E" w:rsidRDefault="001D11D3" w:rsidP="001D11D3">
      <w:pPr>
        <w:pStyle w:val="wXS5pod"/>
      </w:pPr>
      <w:r>
        <w:t>Article 10 - La Commune de Sainte-Ode dispose d'une contrat brasseur pour la salle, contrat s'imposant au locataire pour toutes ses boissons sauf vins et mousseux.</w:t>
      </w:r>
    </w:p>
    <w:p w14:paraId="6840AD99" w14:textId="77777777" w:rsidR="009D247E" w:rsidRDefault="001D11D3" w:rsidP="001D11D3">
      <w:pPr>
        <w:pStyle w:val="wXS5pod"/>
      </w:pPr>
      <w:r>
        <w:t> </w:t>
      </w:r>
    </w:p>
    <w:p w14:paraId="1450BB1A" w14:textId="77777777" w:rsidR="009D247E" w:rsidRDefault="001D11D3" w:rsidP="001D11D3">
      <w:pPr>
        <w:pStyle w:val="wXS5pod"/>
      </w:pPr>
      <w:r>
        <w:t>Article 1</w:t>
      </w:r>
      <w:r>
        <w:rPr>
          <w:rStyle w:val="wXS4pod"/>
        </w:rPr>
        <w:t xml:space="preserve">1 - </w:t>
      </w:r>
      <w:r>
        <w:t>Durant la location, l'accès aux parties non louées du bâtiment est interdit.</w:t>
      </w:r>
    </w:p>
    <w:p w14:paraId="782689DE" w14:textId="77777777" w:rsidR="009D247E" w:rsidRDefault="001D11D3" w:rsidP="001D11D3">
      <w:pPr>
        <w:pStyle w:val="wXS5pod"/>
      </w:pPr>
      <w:r>
        <w:t> </w:t>
      </w:r>
    </w:p>
    <w:p w14:paraId="7983F70A" w14:textId="77777777" w:rsidR="009D247E" w:rsidRDefault="001D11D3" w:rsidP="001D11D3">
      <w:pPr>
        <w:pStyle w:val="wXS5pod"/>
      </w:pPr>
      <w:r>
        <w:lastRenderedPageBreak/>
        <w:t>Article 12 - Le locataire ne peut donner aucune autre destination à tout ou partie des locaux que celle pour laquelle la location a été souscrite. Il ne peut prétendre prolonger la durée de location qui lui a été accordée. La sous-location de tous ou partie des locaux est formellement interdite.</w:t>
      </w:r>
    </w:p>
    <w:p w14:paraId="56A94254" w14:textId="77777777" w:rsidR="009D247E" w:rsidRDefault="001D11D3" w:rsidP="001D11D3">
      <w:pPr>
        <w:pStyle w:val="wXS5pod"/>
      </w:pPr>
      <w:r>
        <w:t> </w:t>
      </w:r>
    </w:p>
    <w:p w14:paraId="3662688F" w14:textId="77777777" w:rsidR="009D247E" w:rsidRDefault="001D11D3" w:rsidP="001D11D3">
      <w:pPr>
        <w:pStyle w:val="wXS5pod"/>
      </w:pPr>
      <w:r>
        <w:t>Article 13 - Le locataire est tenu de veiller à ce que les issues de secours soient libres d’accès lors de sa location.</w:t>
      </w:r>
    </w:p>
    <w:p w14:paraId="7851F9D5" w14:textId="77777777" w:rsidR="009D247E" w:rsidRDefault="001D11D3" w:rsidP="001D11D3">
      <w:pPr>
        <w:pStyle w:val="wXS5pod"/>
      </w:pPr>
      <w:r>
        <w:t> </w:t>
      </w:r>
    </w:p>
    <w:p w14:paraId="7BEA4FF2" w14:textId="77777777" w:rsidR="009D247E" w:rsidRDefault="001D11D3" w:rsidP="001D11D3">
      <w:pPr>
        <w:pStyle w:val="wXS5pod"/>
      </w:pPr>
      <w:r>
        <w:t>Article 14 - Il est interdit :</w:t>
      </w:r>
    </w:p>
    <w:p w14:paraId="6709E295" w14:textId="77777777" w:rsidR="009D247E" w:rsidRDefault="001D11D3" w:rsidP="001D11D3">
      <w:pPr>
        <w:pStyle w:val="wXS7pod"/>
        <w:numPr>
          <w:ilvl w:val="0"/>
          <w:numId w:val="4"/>
        </w:numPr>
        <w:tabs>
          <w:tab w:val="left" w:pos="922"/>
        </w:tabs>
      </w:pPr>
      <w:r>
        <w:t>De fumer dans les locaux ;</w:t>
      </w:r>
    </w:p>
    <w:p w14:paraId="01466F16" w14:textId="77777777" w:rsidR="009D247E" w:rsidRDefault="001D11D3" w:rsidP="001D11D3">
      <w:pPr>
        <w:pStyle w:val="wXS7pod"/>
        <w:numPr>
          <w:ilvl w:val="0"/>
          <w:numId w:val="4"/>
        </w:numPr>
        <w:tabs>
          <w:tab w:val="left" w:pos="922"/>
        </w:tabs>
      </w:pPr>
      <w:r>
        <w:t>D’utiliser des fumigènes dans les locaux ;</w:t>
      </w:r>
    </w:p>
    <w:p w14:paraId="06204343" w14:textId="77777777" w:rsidR="009D247E" w:rsidRDefault="001D11D3" w:rsidP="001D11D3">
      <w:pPr>
        <w:pStyle w:val="wXS7pod"/>
        <w:numPr>
          <w:ilvl w:val="0"/>
          <w:numId w:val="4"/>
        </w:numPr>
        <w:tabs>
          <w:tab w:val="left" w:pos="922"/>
        </w:tabs>
      </w:pPr>
      <w:r>
        <w:t>De recouvrir les murs intérieurs d’affiches ou de panneaux et d’utiliser tout ce qui pourrait être susceptible d’abîmer les murs ET les plafonds (punaises, clous, agrafes, papier-collant…)</w:t>
      </w:r>
    </w:p>
    <w:p w14:paraId="1EC11186" w14:textId="77777777" w:rsidR="009D247E" w:rsidRDefault="001D11D3" w:rsidP="001D11D3">
      <w:pPr>
        <w:pStyle w:val="wXS7pod"/>
        <w:numPr>
          <w:ilvl w:val="0"/>
          <w:numId w:val="4"/>
        </w:numPr>
        <w:tabs>
          <w:tab w:val="left" w:pos="922"/>
        </w:tabs>
      </w:pPr>
      <w:r>
        <w:t>De maintenir ouvertes les portes extérieures des salles pendant la location.</w:t>
      </w:r>
    </w:p>
    <w:p w14:paraId="6FC9F8C8" w14:textId="77777777" w:rsidR="009D247E" w:rsidRDefault="001D11D3" w:rsidP="001D11D3">
      <w:pPr>
        <w:jc w:val="both"/>
      </w:pPr>
      <w:r>
        <w:t> </w:t>
      </w:r>
    </w:p>
    <w:p w14:paraId="325A0CED" w14:textId="77777777" w:rsidR="009D247E" w:rsidRDefault="001D11D3" w:rsidP="001D11D3">
      <w:pPr>
        <w:jc w:val="both"/>
      </w:pPr>
      <w:r>
        <w:t>Article 15 - Lors de son départ de la salle, le locataire est tenu d’éteindre toutes les lumières, de veiller à ce que les robinets et les fenêtres soient bien fermés, de débrancher tous les appareils électriques et de refermer à clé toutes les portes du bâtiment.</w:t>
      </w:r>
      <w:r>
        <w:rPr>
          <w:rStyle w:val="wXS3pod"/>
        </w:rPr>
        <w:t xml:space="preserve"> </w:t>
      </w:r>
    </w:p>
    <w:p w14:paraId="43AEB07F" w14:textId="77777777" w:rsidR="009D247E" w:rsidRDefault="001D11D3" w:rsidP="001D11D3">
      <w:pPr>
        <w:jc w:val="both"/>
      </w:pPr>
      <w:r>
        <w:t> </w:t>
      </w:r>
    </w:p>
    <w:p w14:paraId="1FB5CE28" w14:textId="77777777" w:rsidR="009D247E" w:rsidRDefault="001D11D3" w:rsidP="001D11D3">
      <w:pPr>
        <w:jc w:val="both"/>
      </w:pPr>
      <w:r>
        <w:t xml:space="preserve">Article 16 - A la fin de la </w:t>
      </w:r>
      <w:proofErr w:type="gramStart"/>
      <w:r>
        <w:t>location:</w:t>
      </w:r>
      <w:proofErr w:type="gramEnd"/>
    </w:p>
    <w:p w14:paraId="1CB29C17" w14:textId="77777777" w:rsidR="009D247E" w:rsidRDefault="001D11D3" w:rsidP="001D11D3">
      <w:pPr>
        <w:pStyle w:val="wXS7pod"/>
        <w:numPr>
          <w:ilvl w:val="0"/>
          <w:numId w:val="5"/>
        </w:numPr>
        <w:tabs>
          <w:tab w:val="left" w:pos="922"/>
        </w:tabs>
      </w:pPr>
      <w:r>
        <w:t xml:space="preserve">La vaisselle, le matériel, le mobilier, les chaises et les tables sont nettoyés par le locataire et remis à leur </w:t>
      </w:r>
      <w:proofErr w:type="gramStart"/>
      <w:r>
        <w:t>place;</w:t>
      </w:r>
      <w:proofErr w:type="gramEnd"/>
    </w:p>
    <w:p w14:paraId="0B1AE3BE" w14:textId="77777777" w:rsidR="009D247E" w:rsidRDefault="001D11D3" w:rsidP="001D11D3">
      <w:pPr>
        <w:pStyle w:val="wXS7pod"/>
        <w:numPr>
          <w:ilvl w:val="0"/>
          <w:numId w:val="5"/>
        </w:numPr>
        <w:tabs>
          <w:tab w:val="left" w:pos="922"/>
        </w:tabs>
      </w:pPr>
      <w:r>
        <w:t xml:space="preserve">Les alentours des salles sont remis en état par le </w:t>
      </w:r>
      <w:proofErr w:type="gramStart"/>
      <w:r>
        <w:t>locataire;</w:t>
      </w:r>
      <w:proofErr w:type="gramEnd"/>
    </w:p>
    <w:p w14:paraId="219FAB25" w14:textId="77777777" w:rsidR="009D247E" w:rsidRDefault="001D11D3" w:rsidP="001D11D3">
      <w:pPr>
        <w:pStyle w:val="wXS7pod"/>
        <w:numPr>
          <w:ilvl w:val="0"/>
          <w:numId w:val="5"/>
        </w:numPr>
        <w:tabs>
          <w:tab w:val="left" w:pos="922"/>
        </w:tabs>
      </w:pPr>
      <w:r>
        <w:t xml:space="preserve">Les déchets sont triés en utilisant les différentes poubelles mises à disposition ou sont emportés par le locataire. Le </w:t>
      </w:r>
      <w:r>
        <w:t xml:space="preserve">non-respect de ces consignes peut entraîner une retenue sur la caution sur base du tarif figurant en annexe 1. Les déchets alimentaires ne peuvent en aucun cas être mis dans le container, le locataire les reprendra. Les bouteilles en verre seront reprises </w:t>
      </w:r>
      <w:proofErr w:type="gramStart"/>
      <w:r>
        <w:t>également;</w:t>
      </w:r>
      <w:proofErr w:type="gramEnd"/>
    </w:p>
    <w:p w14:paraId="057569FC" w14:textId="77777777" w:rsidR="009D247E" w:rsidRDefault="001D11D3" w:rsidP="001D11D3">
      <w:pPr>
        <w:pStyle w:val="wXS7pod"/>
        <w:numPr>
          <w:ilvl w:val="0"/>
          <w:numId w:val="5"/>
        </w:numPr>
        <w:tabs>
          <w:tab w:val="left" w:pos="922"/>
        </w:tabs>
      </w:pPr>
      <w:r>
        <w:t>Le matériel amené par le locataire sera enlevé par ses soins. Tout manquement à cette obligation entraînerait l’enlèvement dudit matériel aux frais, risques et périls du locataire.</w:t>
      </w:r>
    </w:p>
    <w:p w14:paraId="046F9D3A" w14:textId="77777777" w:rsidR="009D247E" w:rsidRDefault="001D11D3" w:rsidP="001D11D3">
      <w:pPr>
        <w:pStyle w:val="wXS5pod"/>
      </w:pPr>
      <w:r>
        <w:t> </w:t>
      </w:r>
    </w:p>
    <w:p w14:paraId="48EF61C8" w14:textId="77777777" w:rsidR="009D247E" w:rsidRDefault="001D11D3" w:rsidP="001D11D3">
      <w:pPr>
        <w:pStyle w:val="wXS5pod"/>
      </w:pPr>
      <w:r>
        <w:rPr>
          <w:rStyle w:val="wXS4pod"/>
        </w:rPr>
        <w:t>VI. Responsabilités</w:t>
      </w:r>
    </w:p>
    <w:p w14:paraId="228719D6" w14:textId="77777777" w:rsidR="009D247E" w:rsidRDefault="001D11D3" w:rsidP="001D11D3">
      <w:pPr>
        <w:jc w:val="both"/>
      </w:pPr>
      <w:r>
        <w:t> </w:t>
      </w:r>
    </w:p>
    <w:p w14:paraId="33F6FAF6" w14:textId="77777777" w:rsidR="009D247E" w:rsidRDefault="001D11D3" w:rsidP="001D11D3">
      <w:pPr>
        <w:pStyle w:val="wXS5pod"/>
      </w:pPr>
      <w:r>
        <w:t xml:space="preserve">Article 17 - Le locataire est </w:t>
      </w:r>
      <w:r>
        <w:t>personnellement responsable vis-à-vis des tiers ou de toute autre autorité, privée ou publique. Il est civilement responsable des accidents qui surviendraient au cours de sa location.</w:t>
      </w:r>
    </w:p>
    <w:p w14:paraId="25068F81" w14:textId="77777777" w:rsidR="009D247E" w:rsidRDefault="001D11D3" w:rsidP="001D11D3">
      <w:pPr>
        <w:pStyle w:val="wXS9pod"/>
        <w:jc w:val="both"/>
      </w:pPr>
      <w:r>
        <w:t> </w:t>
      </w:r>
    </w:p>
    <w:p w14:paraId="07BBFD11" w14:textId="77777777" w:rsidR="009D247E" w:rsidRDefault="001D11D3" w:rsidP="001D11D3">
      <w:pPr>
        <w:pStyle w:val="wXS5pod"/>
      </w:pPr>
      <w:r>
        <w:t xml:space="preserve">Article 18 - La Commune de </w:t>
      </w:r>
      <w:proofErr w:type="spellStart"/>
      <w:r>
        <w:t>Sainte-ode</w:t>
      </w:r>
      <w:proofErr w:type="spellEnd"/>
      <w:r>
        <w:t xml:space="preserve"> décline toute responsabilité en cas de perte, de vol ou de détérioration d’objets personnels, d’équipements ou de matériels mis à disposition, dans </w:t>
      </w:r>
      <w:proofErr w:type="gramStart"/>
      <w:r>
        <w:t>la salles</w:t>
      </w:r>
      <w:proofErr w:type="gramEnd"/>
      <w:r>
        <w:t xml:space="preserve"> ou abords. </w:t>
      </w:r>
    </w:p>
    <w:p w14:paraId="51E8274D" w14:textId="77777777" w:rsidR="009D247E" w:rsidRDefault="001D11D3" w:rsidP="001D11D3">
      <w:pPr>
        <w:pStyle w:val="wXS5pod"/>
      </w:pPr>
      <w:r>
        <w:t> </w:t>
      </w:r>
    </w:p>
    <w:p w14:paraId="5238A2AB" w14:textId="77777777" w:rsidR="009D247E" w:rsidRDefault="001D11D3" w:rsidP="001D11D3">
      <w:pPr>
        <w:pStyle w:val="wXS5pod"/>
      </w:pPr>
      <w:r>
        <w:t>Article 19 - Le locataire est invité à souscrire un contrat d’assurance responsabilité civile et tout autre assurance qu'il jugerait utile ou qui s'imposerait à lui par la législation en cours suivant l'activité/organisation du locataire. Il est précisé que la Commune a souscrit pour le bien loué une assurance incendie avec abandon de recours.</w:t>
      </w:r>
    </w:p>
    <w:p w14:paraId="61C550F6" w14:textId="77777777" w:rsidR="009D247E" w:rsidRDefault="001D11D3" w:rsidP="001D11D3">
      <w:pPr>
        <w:jc w:val="both"/>
      </w:pPr>
      <w:r>
        <w:t> </w:t>
      </w:r>
    </w:p>
    <w:p w14:paraId="69BFDB36" w14:textId="77777777" w:rsidR="009D247E" w:rsidRDefault="001D11D3" w:rsidP="001D11D3">
      <w:pPr>
        <w:jc w:val="both"/>
      </w:pPr>
      <w:r>
        <w:rPr>
          <w:rStyle w:val="wXS4pod"/>
        </w:rPr>
        <w:t>VII. Autorisations, réglementation et sécurité</w:t>
      </w:r>
    </w:p>
    <w:p w14:paraId="00498B66" w14:textId="77777777" w:rsidR="009D247E" w:rsidRDefault="001D11D3" w:rsidP="001D11D3">
      <w:pPr>
        <w:jc w:val="both"/>
      </w:pPr>
      <w:r>
        <w:t> </w:t>
      </w:r>
    </w:p>
    <w:p w14:paraId="2075874C" w14:textId="77777777" w:rsidR="009D247E" w:rsidRDefault="001D11D3" w:rsidP="001D11D3">
      <w:pPr>
        <w:jc w:val="both"/>
      </w:pPr>
      <w:r>
        <w:t>Article 20 - Le locataire est tenu d’obtenir des services compétents toute autorisation compatible avec l’activité envisagée : autorisation communale, Sabam, rémunération équitable</w:t>
      </w:r>
    </w:p>
    <w:p w14:paraId="57D42DC6" w14:textId="77777777" w:rsidR="009D247E" w:rsidRDefault="001D11D3" w:rsidP="001D11D3">
      <w:pPr>
        <w:jc w:val="both"/>
      </w:pPr>
      <w:r>
        <w:t> </w:t>
      </w:r>
    </w:p>
    <w:p w14:paraId="01ECF1E1" w14:textId="77777777" w:rsidR="009D247E" w:rsidRDefault="001D11D3" w:rsidP="001D11D3">
      <w:pPr>
        <w:jc w:val="both"/>
      </w:pPr>
      <w:r>
        <w:t>Article 21 - Le Règlement général de Police de la Zone Centre Ardenne est d'application, notamment en matière de tranquillité, propreté et sécurité publiques.</w:t>
      </w:r>
    </w:p>
    <w:p w14:paraId="7A07FC42" w14:textId="77777777" w:rsidR="009D247E" w:rsidRDefault="001D11D3" w:rsidP="001D11D3">
      <w:pPr>
        <w:pStyle w:val="wXS5pod"/>
      </w:pPr>
      <w:r>
        <w:t> </w:t>
      </w:r>
    </w:p>
    <w:p w14:paraId="1F6560AC" w14:textId="77777777" w:rsidR="009D247E" w:rsidRDefault="001D11D3" w:rsidP="001D11D3">
      <w:pPr>
        <w:pStyle w:val="wXS5pod"/>
      </w:pPr>
      <w:r>
        <w:t>Article 22 - La détention, la vente ou la consommation de boissons alcoolisées ou fermentées est admise dans le cadre d’un respect strict de la législation en cours.</w:t>
      </w:r>
    </w:p>
    <w:p w14:paraId="0F3A783C" w14:textId="77777777" w:rsidR="009D247E" w:rsidRDefault="001D11D3" w:rsidP="001D11D3">
      <w:pPr>
        <w:pStyle w:val="wXS5pod"/>
      </w:pPr>
      <w:r>
        <w:t> </w:t>
      </w:r>
    </w:p>
    <w:p w14:paraId="51234FCA" w14:textId="77777777" w:rsidR="009D247E" w:rsidRDefault="001D11D3" w:rsidP="001D11D3">
      <w:pPr>
        <w:jc w:val="both"/>
      </w:pPr>
      <w:r>
        <w:t>Article 23- Il peut être mis fin à l’activité lors la location sur injonction de la Police, sans préavis, ni indemnité, en cas de violation du règlement de police ou d'autres législations en cours.</w:t>
      </w:r>
    </w:p>
    <w:p w14:paraId="52B8E8D9" w14:textId="77777777" w:rsidR="009D247E" w:rsidRDefault="001D11D3" w:rsidP="001D11D3">
      <w:pPr>
        <w:jc w:val="both"/>
      </w:pPr>
      <w:r>
        <w:lastRenderedPageBreak/>
        <w:t> </w:t>
      </w:r>
    </w:p>
    <w:p w14:paraId="1AC9BF53" w14:textId="77777777" w:rsidR="009D247E" w:rsidRDefault="001D11D3" w:rsidP="001D11D3">
      <w:pPr>
        <w:pStyle w:val="wXS5pod"/>
      </w:pPr>
      <w:r>
        <w:t>Article 24 - Le service gestionnaire et le Collège communal ont le droit de contrôler la bonne utilisation des lieux. Ils ont le droit de mettre fin à la location sans préavis, ni indemnité en cas de violation des dispositions du présent règlement.</w:t>
      </w:r>
    </w:p>
    <w:p w14:paraId="48BD9B9C" w14:textId="77777777" w:rsidR="009D247E" w:rsidRDefault="001D11D3" w:rsidP="001D11D3">
      <w:pPr>
        <w:pStyle w:val="wXS5pod"/>
      </w:pPr>
      <w:r>
        <w:t>Le Collège communal peut interdire la location de la salle et des autres salles communales, voire l'accès, pendant une certaine période ou définitivement, à tout locataire ou visiteur, en cas de manquement estimés graves au présent règlement.</w:t>
      </w:r>
    </w:p>
    <w:p w14:paraId="2D077BF3" w14:textId="77777777" w:rsidR="009D247E" w:rsidRDefault="001D11D3" w:rsidP="001D11D3">
      <w:pPr>
        <w:pStyle w:val="wXS5pod"/>
      </w:pPr>
      <w:r>
        <w:t> </w:t>
      </w:r>
    </w:p>
    <w:p w14:paraId="132AEFAC" w14:textId="77777777" w:rsidR="009D247E" w:rsidRDefault="001D11D3" w:rsidP="001D11D3">
      <w:pPr>
        <w:pStyle w:val="wXS5pod"/>
      </w:pPr>
      <w:r>
        <w:t>Article 25 - En cas de nécessité, une trousse de secours et des extincteurs sont mis à disposition du locataire dans la cuisine.</w:t>
      </w:r>
    </w:p>
    <w:p w14:paraId="71395D84" w14:textId="77777777" w:rsidR="009D247E" w:rsidRDefault="001D11D3" w:rsidP="001D11D3">
      <w:pPr>
        <w:pStyle w:val="wXS5pod"/>
      </w:pPr>
      <w:r>
        <w:t> </w:t>
      </w:r>
    </w:p>
    <w:p w14:paraId="40C58E75" w14:textId="77777777" w:rsidR="009D247E" w:rsidRDefault="001D11D3" w:rsidP="001D11D3">
      <w:pPr>
        <w:pStyle w:val="wXS5pod"/>
      </w:pPr>
      <w:r>
        <w:rPr>
          <w:rStyle w:val="wXS4pod"/>
        </w:rPr>
        <w:t>VIII. Disposition dérogatoire</w:t>
      </w:r>
    </w:p>
    <w:p w14:paraId="75F701EE" w14:textId="77777777" w:rsidR="009D247E" w:rsidRDefault="001D11D3" w:rsidP="001D11D3">
      <w:pPr>
        <w:pStyle w:val="wXS5pod"/>
      </w:pPr>
      <w:r>
        <w:t> </w:t>
      </w:r>
    </w:p>
    <w:p w14:paraId="20120917" w14:textId="77777777" w:rsidR="009D247E" w:rsidRDefault="001D11D3" w:rsidP="001D11D3">
      <w:pPr>
        <w:pStyle w:val="wXS5pod"/>
      </w:pPr>
      <w:r>
        <w:t xml:space="preserve">Article 26 - La mise à disposition de la salle </w:t>
      </w:r>
      <w:proofErr w:type="gramStart"/>
      <w:r>
        <w:t>peut-être</w:t>
      </w:r>
      <w:proofErr w:type="gramEnd"/>
      <w:r>
        <w:t xml:space="preserve"> consentie à destination d'ASBL ou de personne physique en dérogation aux articles 4 à 7 et 9 (pour la partie caution) dans le cadre de réunions ou d'activité de types éducatives, culturelles ou sportives sans caractère festif. </w:t>
      </w:r>
    </w:p>
    <w:p w14:paraId="6EF3741F" w14:textId="77777777" w:rsidR="009D247E" w:rsidRDefault="001D11D3" w:rsidP="001D11D3">
      <w:pPr>
        <w:pStyle w:val="wXS5pod"/>
      </w:pPr>
      <w:r>
        <w:t xml:space="preserve">Cette mise à disposition peut avoir lieu la semaine du lundi 14 heures au jeudi (hors jours fériés) après </w:t>
      </w:r>
      <w:r>
        <w:t>réservation auprès du service gestionnaire</w:t>
      </w:r>
      <w:r>
        <w:rPr>
          <w:rStyle w:val="wXS4pod"/>
        </w:rPr>
        <w:t xml:space="preserve"> </w:t>
      </w:r>
      <w:r>
        <w:t>et en mentionnant l'activité prévue pendant l'occupation.</w:t>
      </w:r>
    </w:p>
    <w:p w14:paraId="0CBAAF05" w14:textId="77777777" w:rsidR="009D247E" w:rsidRDefault="001D11D3" w:rsidP="001D11D3">
      <w:pPr>
        <w:pStyle w:val="wXS5pod"/>
      </w:pPr>
      <w:r>
        <w:t>La réservation peut être réalisée par année scolaire ou pour une activité ponctuelle.</w:t>
      </w:r>
    </w:p>
    <w:p w14:paraId="70D8F9B4" w14:textId="77777777" w:rsidR="009D247E" w:rsidRDefault="001D11D3" w:rsidP="001D11D3">
      <w:pPr>
        <w:pStyle w:val="wXS5pod"/>
      </w:pPr>
      <w:r>
        <w:t>Les occupations de salles dans le cadre du présent article implique dans le chef de l'occupant l'obligation de remettre en état la salle après son occupation, nettoyage compris.</w:t>
      </w:r>
    </w:p>
    <w:p w14:paraId="4EF052A5" w14:textId="77777777" w:rsidR="009D247E" w:rsidRDefault="001D11D3" w:rsidP="001D11D3">
      <w:pPr>
        <w:pStyle w:val="wXS5pod"/>
      </w:pPr>
      <w:r>
        <w:t>Il est également considéré que la salle est occupée dans un parfait état, à charge pour l'occupant de signaler d'éventuel dégât constaté avant son occupation.</w:t>
      </w:r>
    </w:p>
    <w:p w14:paraId="749F5F47" w14:textId="77777777" w:rsidR="009D247E" w:rsidRDefault="001D11D3" w:rsidP="001D11D3">
      <w:pPr>
        <w:pStyle w:val="wXS5pod"/>
      </w:pPr>
      <w:r>
        <w:t xml:space="preserve">Les frais éventuels tels que prévus à l'article 9 seront réclamés à l'occupant, de même que les frais de nettoyage éventuels impliqué </w:t>
      </w:r>
      <w:proofErr w:type="gramStart"/>
      <w:r>
        <w:t>de par le</w:t>
      </w:r>
      <w:proofErr w:type="gramEnd"/>
      <w:r>
        <w:t xml:space="preserve"> manquement de l'occupant.</w:t>
      </w:r>
    </w:p>
    <w:p w14:paraId="211710BE" w14:textId="77777777" w:rsidR="009D247E" w:rsidRDefault="001D11D3" w:rsidP="001D11D3">
      <w:pPr>
        <w:pStyle w:val="wXS5pod"/>
      </w:pPr>
      <w:r>
        <w:t xml:space="preserve">Les occupations de salle dans le cadre du présent article sont autorisées par le Collège communal. Elles peuvent être retirées en cas de </w:t>
      </w:r>
      <w:proofErr w:type="spellStart"/>
      <w:proofErr w:type="gramStart"/>
      <w:r>
        <w:t>non respect</w:t>
      </w:r>
      <w:proofErr w:type="spellEnd"/>
      <w:proofErr w:type="gramEnd"/>
      <w:r>
        <w:t xml:space="preserve"> des conditions d'occupation.</w:t>
      </w:r>
    </w:p>
    <w:p w14:paraId="0CEA1CDF" w14:textId="77777777" w:rsidR="009D247E" w:rsidRDefault="001D11D3" w:rsidP="001D11D3">
      <w:pPr>
        <w:pStyle w:val="wXS5pod"/>
      </w:pPr>
      <w:r>
        <w:t> </w:t>
      </w:r>
    </w:p>
    <w:p w14:paraId="0C62544E" w14:textId="77777777" w:rsidR="009D247E" w:rsidRDefault="001D11D3" w:rsidP="001D11D3">
      <w:pPr>
        <w:pStyle w:val="wXS5pod"/>
      </w:pPr>
      <w:r>
        <w:rPr>
          <w:rStyle w:val="wXS4pod"/>
        </w:rPr>
        <w:t>IX. Dispositions finales</w:t>
      </w:r>
    </w:p>
    <w:p w14:paraId="3348FE24" w14:textId="77777777" w:rsidR="009D247E" w:rsidRDefault="001D11D3" w:rsidP="001D11D3">
      <w:pPr>
        <w:pStyle w:val="wXS5pod"/>
      </w:pPr>
      <w:r>
        <w:t> </w:t>
      </w:r>
    </w:p>
    <w:p w14:paraId="124A81B3" w14:textId="77777777" w:rsidR="009D247E" w:rsidRDefault="001D11D3" w:rsidP="001D11D3">
      <w:pPr>
        <w:pStyle w:val="wXS5pod"/>
      </w:pPr>
      <w:r>
        <w:t>Article 27 - Tout litige sera soumis au Collège communal. Les tribunaux de l'arrondissement judiciaire du Luxembourg sont territorialement compétents pour les litiges s'intégrant dans la compétence matérielle des tribunaux judiciaires.</w:t>
      </w:r>
    </w:p>
    <w:p w14:paraId="4F5E629A" w14:textId="77777777" w:rsidR="009D247E" w:rsidRDefault="001D11D3" w:rsidP="001D11D3">
      <w:pPr>
        <w:pStyle w:val="wXS5pod"/>
      </w:pPr>
      <w:r>
        <w:t> </w:t>
      </w:r>
    </w:p>
    <w:p w14:paraId="72F99F16" w14:textId="77777777" w:rsidR="009D247E" w:rsidRDefault="001D11D3" w:rsidP="001D11D3">
      <w:pPr>
        <w:jc w:val="both"/>
      </w:pPr>
      <w:r>
        <w:t>Article 28 - Le présent règlement sera publié conformément aux articles L1133-1 et L1133-2 du Code de la démocratie locale et de la décentralisation. Il entrera en vigueur le 1er septembre 2024.</w:t>
      </w:r>
    </w:p>
    <w:p w14:paraId="6D58F378" w14:textId="77777777" w:rsidR="009D247E" w:rsidRDefault="001D11D3" w:rsidP="001D11D3">
      <w:pPr>
        <w:jc w:val="both"/>
      </w:pPr>
      <w:r>
        <w:t> </w:t>
      </w:r>
    </w:p>
    <w:p w14:paraId="088132C4" w14:textId="77777777" w:rsidR="009D247E" w:rsidRDefault="001D11D3" w:rsidP="001D11D3">
      <w:pPr>
        <w:jc w:val="both"/>
      </w:pPr>
      <w:r>
        <w:t> </w:t>
      </w:r>
    </w:p>
    <w:p w14:paraId="21298B55" w14:textId="5712848F" w:rsidR="009D247E" w:rsidRDefault="001D11D3" w:rsidP="001D11D3">
      <w:pPr>
        <w:jc w:val="both"/>
      </w:pPr>
      <w:r>
        <w:t> </w:t>
      </w:r>
      <w:r>
        <w:t> </w:t>
      </w:r>
    </w:p>
    <w:p w14:paraId="51D2F114" w14:textId="77777777" w:rsidR="009D247E" w:rsidRDefault="001D11D3">
      <w:r>
        <w:t> </w:t>
      </w:r>
    </w:p>
    <w:p w14:paraId="247764C2" w14:textId="77777777" w:rsidR="009D247E" w:rsidRDefault="001D11D3">
      <w:r>
        <w:t> </w:t>
      </w:r>
    </w:p>
    <w:p w14:paraId="13612DD0" w14:textId="77777777" w:rsidR="009D247E" w:rsidRDefault="001D11D3">
      <w:r>
        <w:t>Annexe 1</w:t>
      </w:r>
    </w:p>
    <w:p w14:paraId="1227350B" w14:textId="77777777" w:rsidR="009D247E" w:rsidRDefault="001D11D3">
      <w:r>
        <w:t> </w:t>
      </w:r>
    </w:p>
    <w:p w14:paraId="052AAE7B" w14:textId="77777777" w:rsidR="009D247E" w:rsidRDefault="001D11D3">
      <w:r>
        <w:t>Liste des motifs de retenue sur caution</w:t>
      </w:r>
    </w:p>
    <w:p w14:paraId="51746319" w14:textId="77777777" w:rsidR="009D247E" w:rsidRDefault="001D11D3">
      <w:r>
        <w:t>*</w:t>
      </w:r>
    </w:p>
    <w:tbl>
      <w:tblPr>
        <w:tblW w:w="5000" w:type="pct"/>
        <w:tblLayout w:type="fixed"/>
        <w:tblCellMar>
          <w:left w:w="0" w:type="dxa"/>
          <w:right w:w="0" w:type="dxa"/>
        </w:tblCellMar>
        <w:tblLook w:val="04A0" w:firstRow="1" w:lastRow="0" w:firstColumn="1" w:lastColumn="0" w:noHBand="0" w:noVBand="1"/>
      </w:tblPr>
      <w:tblGrid>
        <w:gridCol w:w="7377"/>
        <w:gridCol w:w="2261"/>
      </w:tblGrid>
      <w:tr w:rsidR="009D247E" w14:paraId="49A3BA14" w14:textId="77777777">
        <w:tc>
          <w:tcPr>
            <w:tcW w:w="7377" w:type="dxa"/>
          </w:tcPr>
          <w:p w14:paraId="790A9BAE" w14:textId="77777777" w:rsidR="009D247E" w:rsidRDefault="001D11D3">
            <w:pPr>
              <w:pStyle w:val="Tablecell"/>
            </w:pPr>
            <w:r>
              <w:t>Perte des clefs</w:t>
            </w:r>
          </w:p>
        </w:tc>
        <w:tc>
          <w:tcPr>
            <w:tcW w:w="2261" w:type="dxa"/>
          </w:tcPr>
          <w:p w14:paraId="27036E1B" w14:textId="77777777" w:rsidR="009D247E" w:rsidRDefault="001D11D3">
            <w:pPr>
              <w:pStyle w:val="Tablecell"/>
            </w:pPr>
            <w:r>
              <w:t>125</w:t>
            </w:r>
          </w:p>
        </w:tc>
      </w:tr>
      <w:tr w:rsidR="009D247E" w14:paraId="563FDB00" w14:textId="77777777">
        <w:tc>
          <w:tcPr>
            <w:tcW w:w="7377" w:type="dxa"/>
          </w:tcPr>
          <w:p w14:paraId="29267AEB" w14:textId="77777777" w:rsidR="009D247E" w:rsidRDefault="001D11D3">
            <w:pPr>
              <w:pStyle w:val="Tablecell"/>
            </w:pPr>
            <w:r>
              <w:t>Remise tardive des clefs</w:t>
            </w:r>
          </w:p>
        </w:tc>
        <w:tc>
          <w:tcPr>
            <w:tcW w:w="2261" w:type="dxa"/>
          </w:tcPr>
          <w:p w14:paraId="44464131" w14:textId="77777777" w:rsidR="009D247E" w:rsidRDefault="001D11D3">
            <w:pPr>
              <w:pStyle w:val="Tablecell"/>
            </w:pPr>
            <w:r>
              <w:t>100</w:t>
            </w:r>
          </w:p>
        </w:tc>
      </w:tr>
      <w:tr w:rsidR="009D247E" w14:paraId="00381644" w14:textId="77777777">
        <w:tc>
          <w:tcPr>
            <w:tcW w:w="7377" w:type="dxa"/>
          </w:tcPr>
          <w:p w14:paraId="6AC185E9" w14:textId="77777777" w:rsidR="009D247E" w:rsidRDefault="001D11D3">
            <w:pPr>
              <w:pStyle w:val="Tablecell"/>
            </w:pPr>
            <w:r>
              <w:t>Non rangement de la salle</w:t>
            </w:r>
          </w:p>
        </w:tc>
        <w:tc>
          <w:tcPr>
            <w:tcW w:w="2261" w:type="dxa"/>
          </w:tcPr>
          <w:p w14:paraId="1D3B1F9A" w14:textId="77777777" w:rsidR="009D247E" w:rsidRDefault="001D11D3">
            <w:pPr>
              <w:pStyle w:val="Tablecell"/>
            </w:pPr>
            <w:r>
              <w:t>50</w:t>
            </w:r>
          </w:p>
        </w:tc>
      </w:tr>
      <w:tr w:rsidR="009D247E" w14:paraId="4F875E1F" w14:textId="77777777">
        <w:tc>
          <w:tcPr>
            <w:tcW w:w="7377" w:type="dxa"/>
          </w:tcPr>
          <w:p w14:paraId="02BACE7A" w14:textId="77777777" w:rsidR="009D247E" w:rsidRDefault="001D11D3">
            <w:pPr>
              <w:pStyle w:val="Tablecell"/>
            </w:pPr>
            <w:r>
              <w:t xml:space="preserve">Non fermeture de </w:t>
            </w:r>
            <w:r>
              <w:t>l’éclairage, de l’eau, du chauffage</w:t>
            </w:r>
          </w:p>
        </w:tc>
        <w:tc>
          <w:tcPr>
            <w:tcW w:w="2261" w:type="dxa"/>
          </w:tcPr>
          <w:p w14:paraId="538FD265" w14:textId="77777777" w:rsidR="009D247E" w:rsidRDefault="001D11D3">
            <w:pPr>
              <w:pStyle w:val="Tablecell"/>
            </w:pPr>
            <w:r>
              <w:t>25</w:t>
            </w:r>
          </w:p>
        </w:tc>
      </w:tr>
      <w:tr w:rsidR="009D247E" w14:paraId="6BB59DF5" w14:textId="77777777">
        <w:tc>
          <w:tcPr>
            <w:tcW w:w="7377" w:type="dxa"/>
          </w:tcPr>
          <w:p w14:paraId="1732A554" w14:textId="77777777" w:rsidR="009D247E" w:rsidRDefault="001D11D3">
            <w:pPr>
              <w:pStyle w:val="Tablecell"/>
            </w:pPr>
            <w:r>
              <w:t>Mauvais tri des déchets</w:t>
            </w:r>
          </w:p>
        </w:tc>
        <w:tc>
          <w:tcPr>
            <w:tcW w:w="2261" w:type="dxa"/>
          </w:tcPr>
          <w:p w14:paraId="0CFD47BC" w14:textId="77777777" w:rsidR="009D247E" w:rsidRDefault="001D11D3">
            <w:pPr>
              <w:pStyle w:val="Tablecell"/>
            </w:pPr>
            <w:r>
              <w:t>50</w:t>
            </w:r>
          </w:p>
        </w:tc>
      </w:tr>
      <w:tr w:rsidR="009D247E" w14:paraId="335F8EAB" w14:textId="77777777">
        <w:tc>
          <w:tcPr>
            <w:tcW w:w="7377" w:type="dxa"/>
          </w:tcPr>
          <w:p w14:paraId="3179B5B8" w14:textId="77777777" w:rsidR="009D247E" w:rsidRDefault="001D11D3">
            <w:pPr>
              <w:pStyle w:val="Tablecell"/>
            </w:pPr>
            <w:r>
              <w:t>Vaisselle sale</w:t>
            </w:r>
          </w:p>
        </w:tc>
        <w:tc>
          <w:tcPr>
            <w:tcW w:w="2261" w:type="dxa"/>
          </w:tcPr>
          <w:p w14:paraId="253D151C" w14:textId="77777777" w:rsidR="009D247E" w:rsidRDefault="001D11D3">
            <w:pPr>
              <w:pStyle w:val="Tablecell"/>
            </w:pPr>
            <w:r>
              <w:t>50</w:t>
            </w:r>
          </w:p>
        </w:tc>
      </w:tr>
      <w:tr w:rsidR="009D247E" w14:paraId="1BF4128A" w14:textId="77777777">
        <w:tc>
          <w:tcPr>
            <w:tcW w:w="7377" w:type="dxa"/>
          </w:tcPr>
          <w:p w14:paraId="73F0F223" w14:textId="77777777" w:rsidR="009D247E" w:rsidRDefault="001D11D3">
            <w:pPr>
              <w:pStyle w:val="Tablecell"/>
            </w:pPr>
            <w:r>
              <w:t>Table</w:t>
            </w:r>
          </w:p>
        </w:tc>
        <w:tc>
          <w:tcPr>
            <w:tcW w:w="2261" w:type="dxa"/>
          </w:tcPr>
          <w:p w14:paraId="7D861582" w14:textId="77777777" w:rsidR="009D247E" w:rsidRDefault="001D11D3">
            <w:pPr>
              <w:pStyle w:val="Tablecell"/>
            </w:pPr>
            <w:r>
              <w:t>110</w:t>
            </w:r>
          </w:p>
        </w:tc>
      </w:tr>
      <w:tr w:rsidR="009D247E" w14:paraId="69BEC906" w14:textId="77777777">
        <w:tc>
          <w:tcPr>
            <w:tcW w:w="7377" w:type="dxa"/>
          </w:tcPr>
          <w:p w14:paraId="7D780AC6" w14:textId="77777777" w:rsidR="009D247E" w:rsidRDefault="001D11D3">
            <w:pPr>
              <w:pStyle w:val="Tablecell"/>
            </w:pPr>
            <w:r>
              <w:t>Verre</w:t>
            </w:r>
          </w:p>
        </w:tc>
        <w:tc>
          <w:tcPr>
            <w:tcW w:w="2261" w:type="dxa"/>
          </w:tcPr>
          <w:p w14:paraId="01425B8C" w14:textId="77777777" w:rsidR="009D247E" w:rsidRDefault="001D11D3">
            <w:pPr>
              <w:pStyle w:val="Tablecell"/>
            </w:pPr>
            <w:r>
              <w:t>2</w:t>
            </w:r>
          </w:p>
        </w:tc>
      </w:tr>
      <w:tr w:rsidR="009D247E" w14:paraId="04ECCA21" w14:textId="77777777">
        <w:tc>
          <w:tcPr>
            <w:tcW w:w="7377" w:type="dxa"/>
          </w:tcPr>
          <w:p w14:paraId="5732C9BD" w14:textId="77777777" w:rsidR="009D247E" w:rsidRDefault="001D11D3">
            <w:pPr>
              <w:pStyle w:val="Tablecell"/>
            </w:pPr>
            <w:r>
              <w:t>Tasse</w:t>
            </w:r>
          </w:p>
        </w:tc>
        <w:tc>
          <w:tcPr>
            <w:tcW w:w="2261" w:type="dxa"/>
          </w:tcPr>
          <w:p w14:paraId="527245CE" w14:textId="77777777" w:rsidR="009D247E" w:rsidRDefault="001D11D3">
            <w:pPr>
              <w:pStyle w:val="Tablecell"/>
            </w:pPr>
            <w:r>
              <w:t>2</w:t>
            </w:r>
          </w:p>
        </w:tc>
      </w:tr>
      <w:tr w:rsidR="009D247E" w14:paraId="55BD3532" w14:textId="77777777">
        <w:tc>
          <w:tcPr>
            <w:tcW w:w="7377" w:type="dxa"/>
          </w:tcPr>
          <w:p w14:paraId="0B1302BF" w14:textId="77777777" w:rsidR="009D247E" w:rsidRDefault="001D11D3">
            <w:pPr>
              <w:pStyle w:val="Tablecell"/>
            </w:pPr>
            <w:r>
              <w:t>Sous-tasse</w:t>
            </w:r>
          </w:p>
        </w:tc>
        <w:tc>
          <w:tcPr>
            <w:tcW w:w="2261" w:type="dxa"/>
          </w:tcPr>
          <w:p w14:paraId="735D1A0C" w14:textId="77777777" w:rsidR="009D247E" w:rsidRDefault="001D11D3">
            <w:pPr>
              <w:pStyle w:val="Tablecell"/>
            </w:pPr>
            <w:r>
              <w:t>2</w:t>
            </w:r>
          </w:p>
        </w:tc>
      </w:tr>
      <w:tr w:rsidR="009D247E" w14:paraId="6CB99ED9" w14:textId="77777777">
        <w:tc>
          <w:tcPr>
            <w:tcW w:w="7377" w:type="dxa"/>
          </w:tcPr>
          <w:p w14:paraId="56AE9C4D" w14:textId="77777777" w:rsidR="009D247E" w:rsidRDefault="001D11D3">
            <w:pPr>
              <w:pStyle w:val="Tablecell"/>
            </w:pPr>
            <w:r>
              <w:t>Pot à sucre</w:t>
            </w:r>
          </w:p>
        </w:tc>
        <w:tc>
          <w:tcPr>
            <w:tcW w:w="2261" w:type="dxa"/>
          </w:tcPr>
          <w:p w14:paraId="03AF0759" w14:textId="77777777" w:rsidR="009D247E" w:rsidRDefault="001D11D3">
            <w:pPr>
              <w:pStyle w:val="Tablecell"/>
            </w:pPr>
            <w:r>
              <w:t>5</w:t>
            </w:r>
          </w:p>
        </w:tc>
      </w:tr>
      <w:tr w:rsidR="009D247E" w14:paraId="069DD6D1" w14:textId="77777777">
        <w:tc>
          <w:tcPr>
            <w:tcW w:w="7377" w:type="dxa"/>
          </w:tcPr>
          <w:p w14:paraId="280FC98B" w14:textId="77777777" w:rsidR="009D247E" w:rsidRDefault="001D11D3">
            <w:pPr>
              <w:pStyle w:val="Tablecell"/>
            </w:pPr>
            <w:r>
              <w:t>Assiette profonde</w:t>
            </w:r>
          </w:p>
        </w:tc>
        <w:tc>
          <w:tcPr>
            <w:tcW w:w="2261" w:type="dxa"/>
          </w:tcPr>
          <w:p w14:paraId="00B3A3C1" w14:textId="77777777" w:rsidR="009D247E" w:rsidRDefault="001D11D3">
            <w:pPr>
              <w:pStyle w:val="Tablecell"/>
            </w:pPr>
            <w:r>
              <w:t>4</w:t>
            </w:r>
          </w:p>
        </w:tc>
      </w:tr>
      <w:tr w:rsidR="009D247E" w14:paraId="44FB6356" w14:textId="77777777">
        <w:tc>
          <w:tcPr>
            <w:tcW w:w="7377" w:type="dxa"/>
          </w:tcPr>
          <w:p w14:paraId="7046D023" w14:textId="77777777" w:rsidR="009D247E" w:rsidRDefault="001D11D3">
            <w:pPr>
              <w:pStyle w:val="Tablecell"/>
            </w:pPr>
            <w:r>
              <w:lastRenderedPageBreak/>
              <w:t>Assiette</w:t>
            </w:r>
          </w:p>
        </w:tc>
        <w:tc>
          <w:tcPr>
            <w:tcW w:w="2261" w:type="dxa"/>
          </w:tcPr>
          <w:p w14:paraId="67ABCD99" w14:textId="77777777" w:rsidR="009D247E" w:rsidRDefault="001D11D3">
            <w:pPr>
              <w:pStyle w:val="Tablecell"/>
            </w:pPr>
            <w:r>
              <w:t>4</w:t>
            </w:r>
          </w:p>
        </w:tc>
      </w:tr>
      <w:tr w:rsidR="009D247E" w14:paraId="2357DC47" w14:textId="77777777">
        <w:tc>
          <w:tcPr>
            <w:tcW w:w="7377" w:type="dxa"/>
          </w:tcPr>
          <w:p w14:paraId="7B1EC4A3" w14:textId="77777777" w:rsidR="009D247E" w:rsidRDefault="001D11D3">
            <w:pPr>
              <w:pStyle w:val="Tablecell"/>
            </w:pPr>
            <w:r>
              <w:t>Assiette dessert</w:t>
            </w:r>
          </w:p>
        </w:tc>
        <w:tc>
          <w:tcPr>
            <w:tcW w:w="2261" w:type="dxa"/>
          </w:tcPr>
          <w:p w14:paraId="666A9EB8" w14:textId="77777777" w:rsidR="009D247E" w:rsidRDefault="001D11D3">
            <w:pPr>
              <w:pStyle w:val="Tablecell"/>
            </w:pPr>
            <w:r>
              <w:t>4</w:t>
            </w:r>
          </w:p>
        </w:tc>
      </w:tr>
      <w:tr w:rsidR="009D247E" w14:paraId="23E22B0D" w14:textId="77777777">
        <w:tc>
          <w:tcPr>
            <w:tcW w:w="7377" w:type="dxa"/>
          </w:tcPr>
          <w:p w14:paraId="7CAA44B0" w14:textId="77777777" w:rsidR="009D247E" w:rsidRDefault="001D11D3">
            <w:pPr>
              <w:pStyle w:val="Tablecell"/>
            </w:pPr>
            <w:r>
              <w:t>Cuillère à soupe</w:t>
            </w:r>
          </w:p>
        </w:tc>
        <w:tc>
          <w:tcPr>
            <w:tcW w:w="2261" w:type="dxa"/>
          </w:tcPr>
          <w:p w14:paraId="2B1A1D48" w14:textId="77777777" w:rsidR="009D247E" w:rsidRDefault="001D11D3">
            <w:pPr>
              <w:pStyle w:val="Tablecell"/>
            </w:pPr>
            <w:r>
              <w:t>1</w:t>
            </w:r>
          </w:p>
        </w:tc>
      </w:tr>
      <w:tr w:rsidR="009D247E" w14:paraId="712C2F4E" w14:textId="77777777">
        <w:tc>
          <w:tcPr>
            <w:tcW w:w="7377" w:type="dxa"/>
          </w:tcPr>
          <w:p w14:paraId="369A47AC" w14:textId="77777777" w:rsidR="009D247E" w:rsidRDefault="001D11D3">
            <w:pPr>
              <w:pStyle w:val="Tablecell"/>
            </w:pPr>
            <w:r>
              <w:t>Cuillère à café</w:t>
            </w:r>
          </w:p>
        </w:tc>
        <w:tc>
          <w:tcPr>
            <w:tcW w:w="2261" w:type="dxa"/>
          </w:tcPr>
          <w:p w14:paraId="57BC62EE" w14:textId="77777777" w:rsidR="009D247E" w:rsidRDefault="001D11D3">
            <w:pPr>
              <w:pStyle w:val="Tablecell"/>
            </w:pPr>
            <w:r>
              <w:t>1</w:t>
            </w:r>
          </w:p>
        </w:tc>
      </w:tr>
      <w:tr w:rsidR="009D247E" w14:paraId="05DAF902" w14:textId="77777777">
        <w:tc>
          <w:tcPr>
            <w:tcW w:w="7377" w:type="dxa"/>
          </w:tcPr>
          <w:p w14:paraId="471FC44A" w14:textId="77777777" w:rsidR="009D247E" w:rsidRDefault="001D11D3">
            <w:pPr>
              <w:pStyle w:val="Tablecell"/>
            </w:pPr>
            <w:r>
              <w:t>Fourchette</w:t>
            </w:r>
          </w:p>
        </w:tc>
        <w:tc>
          <w:tcPr>
            <w:tcW w:w="2261" w:type="dxa"/>
          </w:tcPr>
          <w:p w14:paraId="28BA1597" w14:textId="77777777" w:rsidR="009D247E" w:rsidRDefault="001D11D3">
            <w:pPr>
              <w:pStyle w:val="Tablecell"/>
            </w:pPr>
            <w:r>
              <w:t>1</w:t>
            </w:r>
          </w:p>
        </w:tc>
      </w:tr>
      <w:tr w:rsidR="009D247E" w14:paraId="55C8C832" w14:textId="77777777">
        <w:tc>
          <w:tcPr>
            <w:tcW w:w="7377" w:type="dxa"/>
          </w:tcPr>
          <w:p w14:paraId="3C8F6937" w14:textId="77777777" w:rsidR="009D247E" w:rsidRDefault="001D11D3">
            <w:pPr>
              <w:pStyle w:val="Tablecell"/>
            </w:pPr>
            <w:r>
              <w:t>Couteau</w:t>
            </w:r>
          </w:p>
        </w:tc>
        <w:tc>
          <w:tcPr>
            <w:tcW w:w="2261" w:type="dxa"/>
          </w:tcPr>
          <w:p w14:paraId="64C43241" w14:textId="77777777" w:rsidR="009D247E" w:rsidRDefault="001D11D3">
            <w:pPr>
              <w:pStyle w:val="Tablecell"/>
            </w:pPr>
            <w:r>
              <w:t>1</w:t>
            </w:r>
          </w:p>
        </w:tc>
      </w:tr>
      <w:tr w:rsidR="009D247E" w14:paraId="65ABD51D" w14:textId="77777777">
        <w:tc>
          <w:tcPr>
            <w:tcW w:w="7377" w:type="dxa"/>
          </w:tcPr>
          <w:p w14:paraId="12B5052D" w14:textId="77777777" w:rsidR="009D247E" w:rsidRDefault="001D11D3">
            <w:pPr>
              <w:pStyle w:val="Tablecell"/>
            </w:pPr>
            <w:r>
              <w:t>Cruche en acier</w:t>
            </w:r>
          </w:p>
        </w:tc>
        <w:tc>
          <w:tcPr>
            <w:tcW w:w="2261" w:type="dxa"/>
          </w:tcPr>
          <w:p w14:paraId="45944F1D" w14:textId="77777777" w:rsidR="009D247E" w:rsidRDefault="001D11D3">
            <w:pPr>
              <w:pStyle w:val="Tablecell"/>
            </w:pPr>
            <w:r>
              <w:t>20</w:t>
            </w:r>
          </w:p>
        </w:tc>
      </w:tr>
      <w:tr w:rsidR="009D247E" w14:paraId="602BBA79" w14:textId="77777777">
        <w:tc>
          <w:tcPr>
            <w:tcW w:w="7377" w:type="dxa"/>
          </w:tcPr>
          <w:p w14:paraId="0C1BA19D" w14:textId="77777777" w:rsidR="009D247E" w:rsidRDefault="001D11D3">
            <w:pPr>
              <w:pStyle w:val="Tablecell"/>
            </w:pPr>
            <w:r>
              <w:t>Plateau</w:t>
            </w:r>
          </w:p>
        </w:tc>
        <w:tc>
          <w:tcPr>
            <w:tcW w:w="2261" w:type="dxa"/>
          </w:tcPr>
          <w:p w14:paraId="1B13C2FA" w14:textId="77777777" w:rsidR="009D247E" w:rsidRDefault="001D11D3">
            <w:pPr>
              <w:pStyle w:val="Tablecell"/>
            </w:pPr>
            <w:r>
              <w:t>40</w:t>
            </w:r>
          </w:p>
        </w:tc>
      </w:tr>
      <w:tr w:rsidR="009D247E" w14:paraId="1A438D1B" w14:textId="77777777">
        <w:tc>
          <w:tcPr>
            <w:tcW w:w="7377" w:type="dxa"/>
          </w:tcPr>
          <w:p w14:paraId="089DA301" w14:textId="77777777" w:rsidR="009D247E" w:rsidRDefault="001D11D3">
            <w:pPr>
              <w:pStyle w:val="Tablecell"/>
            </w:pPr>
            <w:r>
              <w:t>Plat</w:t>
            </w:r>
          </w:p>
        </w:tc>
        <w:tc>
          <w:tcPr>
            <w:tcW w:w="2261" w:type="dxa"/>
          </w:tcPr>
          <w:p w14:paraId="2283182F" w14:textId="77777777" w:rsidR="009D247E" w:rsidRDefault="001D11D3">
            <w:pPr>
              <w:pStyle w:val="Tablecell"/>
            </w:pPr>
            <w:r>
              <w:t>20</w:t>
            </w:r>
          </w:p>
        </w:tc>
      </w:tr>
      <w:tr w:rsidR="009D247E" w14:paraId="410E0163" w14:textId="77777777">
        <w:tc>
          <w:tcPr>
            <w:tcW w:w="7377" w:type="dxa"/>
          </w:tcPr>
          <w:p w14:paraId="2C8909F8" w14:textId="77777777" w:rsidR="009D247E" w:rsidRDefault="001D11D3">
            <w:pPr>
              <w:pStyle w:val="Tablecell"/>
            </w:pPr>
            <w:r>
              <w:t>Passoire</w:t>
            </w:r>
          </w:p>
        </w:tc>
        <w:tc>
          <w:tcPr>
            <w:tcW w:w="2261" w:type="dxa"/>
          </w:tcPr>
          <w:p w14:paraId="20503BAC" w14:textId="77777777" w:rsidR="009D247E" w:rsidRDefault="001D11D3">
            <w:pPr>
              <w:pStyle w:val="Tablecell"/>
            </w:pPr>
            <w:r>
              <w:t>15</w:t>
            </w:r>
          </w:p>
        </w:tc>
      </w:tr>
      <w:tr w:rsidR="009D247E" w14:paraId="37631A82" w14:textId="77777777">
        <w:tc>
          <w:tcPr>
            <w:tcW w:w="7377" w:type="dxa"/>
          </w:tcPr>
          <w:p w14:paraId="51580CE1" w14:textId="77777777" w:rsidR="009D247E" w:rsidRDefault="001D11D3">
            <w:pPr>
              <w:pStyle w:val="Tablecell"/>
            </w:pPr>
            <w:r>
              <w:t>Samovar</w:t>
            </w:r>
          </w:p>
        </w:tc>
        <w:tc>
          <w:tcPr>
            <w:tcW w:w="2261" w:type="dxa"/>
          </w:tcPr>
          <w:p w14:paraId="39F2EC61" w14:textId="77777777" w:rsidR="009D247E" w:rsidRDefault="001D11D3">
            <w:pPr>
              <w:pStyle w:val="Tablecell"/>
            </w:pPr>
            <w:r>
              <w:t>150</w:t>
            </w:r>
          </w:p>
        </w:tc>
      </w:tr>
      <w:tr w:rsidR="009D247E" w14:paraId="1FB15AA0" w14:textId="77777777">
        <w:tc>
          <w:tcPr>
            <w:tcW w:w="7377" w:type="dxa"/>
          </w:tcPr>
          <w:p w14:paraId="6FFCBBD3" w14:textId="77777777" w:rsidR="009D247E" w:rsidRDefault="001D11D3">
            <w:pPr>
              <w:pStyle w:val="Tablecell"/>
            </w:pPr>
            <w:r>
              <w:t>Grande casserole</w:t>
            </w:r>
          </w:p>
        </w:tc>
        <w:tc>
          <w:tcPr>
            <w:tcW w:w="2261" w:type="dxa"/>
          </w:tcPr>
          <w:p w14:paraId="4DBE7C3F" w14:textId="77777777" w:rsidR="009D247E" w:rsidRDefault="001D11D3">
            <w:pPr>
              <w:pStyle w:val="Tablecell"/>
            </w:pPr>
            <w:r>
              <w:t>100</w:t>
            </w:r>
          </w:p>
        </w:tc>
      </w:tr>
      <w:tr w:rsidR="009D247E" w14:paraId="5F3387DA" w14:textId="77777777">
        <w:tc>
          <w:tcPr>
            <w:tcW w:w="7377" w:type="dxa"/>
          </w:tcPr>
          <w:p w14:paraId="71EE6884" w14:textId="77777777" w:rsidR="009D247E" w:rsidRDefault="001D11D3">
            <w:pPr>
              <w:pStyle w:val="Tablecell"/>
            </w:pPr>
            <w:r>
              <w:t>Moyenne casserole</w:t>
            </w:r>
          </w:p>
        </w:tc>
        <w:tc>
          <w:tcPr>
            <w:tcW w:w="2261" w:type="dxa"/>
          </w:tcPr>
          <w:p w14:paraId="622C793A" w14:textId="77777777" w:rsidR="009D247E" w:rsidRDefault="001D11D3">
            <w:pPr>
              <w:pStyle w:val="Tablecell"/>
            </w:pPr>
            <w:r>
              <w:t>70</w:t>
            </w:r>
          </w:p>
        </w:tc>
      </w:tr>
      <w:tr w:rsidR="009D247E" w14:paraId="24C0F8A5" w14:textId="77777777">
        <w:tc>
          <w:tcPr>
            <w:tcW w:w="7377" w:type="dxa"/>
          </w:tcPr>
          <w:p w14:paraId="56EF919B" w14:textId="77777777" w:rsidR="009D247E" w:rsidRDefault="001D11D3">
            <w:pPr>
              <w:pStyle w:val="Tablecell"/>
            </w:pPr>
            <w:r>
              <w:t>Petite casserole</w:t>
            </w:r>
          </w:p>
        </w:tc>
        <w:tc>
          <w:tcPr>
            <w:tcW w:w="2261" w:type="dxa"/>
          </w:tcPr>
          <w:p w14:paraId="3FB1D83A" w14:textId="77777777" w:rsidR="009D247E" w:rsidRDefault="001D11D3">
            <w:pPr>
              <w:pStyle w:val="Tablecell"/>
            </w:pPr>
            <w:r>
              <w:t>40</w:t>
            </w:r>
          </w:p>
        </w:tc>
      </w:tr>
      <w:tr w:rsidR="009D247E" w14:paraId="666C665F" w14:textId="77777777">
        <w:tc>
          <w:tcPr>
            <w:tcW w:w="7377" w:type="dxa"/>
          </w:tcPr>
          <w:p w14:paraId="1A0FA809" w14:textId="77777777" w:rsidR="009D247E" w:rsidRDefault="001D11D3">
            <w:pPr>
              <w:pStyle w:val="Tablecell"/>
            </w:pPr>
            <w:r>
              <w:t>Poêle</w:t>
            </w:r>
          </w:p>
        </w:tc>
        <w:tc>
          <w:tcPr>
            <w:tcW w:w="2261" w:type="dxa"/>
          </w:tcPr>
          <w:p w14:paraId="65AE2FCB" w14:textId="77777777" w:rsidR="009D247E" w:rsidRDefault="001D11D3">
            <w:pPr>
              <w:pStyle w:val="Tablecell"/>
            </w:pPr>
            <w:r>
              <w:t>50</w:t>
            </w:r>
          </w:p>
        </w:tc>
      </w:tr>
      <w:tr w:rsidR="009D247E" w14:paraId="65FBCBD6" w14:textId="77777777">
        <w:tc>
          <w:tcPr>
            <w:tcW w:w="7377" w:type="dxa"/>
          </w:tcPr>
          <w:p w14:paraId="67A02C5E" w14:textId="77777777" w:rsidR="009D247E" w:rsidRDefault="001D11D3">
            <w:pPr>
              <w:pStyle w:val="Tablecell"/>
            </w:pPr>
            <w:r>
              <w:t>Chaise</w:t>
            </w:r>
          </w:p>
        </w:tc>
        <w:tc>
          <w:tcPr>
            <w:tcW w:w="2261" w:type="dxa"/>
          </w:tcPr>
          <w:p w14:paraId="06D2F488" w14:textId="77777777" w:rsidR="009D247E" w:rsidRDefault="001D11D3">
            <w:pPr>
              <w:pStyle w:val="Tablecell"/>
            </w:pPr>
            <w:r>
              <w:t>50</w:t>
            </w:r>
          </w:p>
        </w:tc>
      </w:tr>
      <w:tr w:rsidR="009D247E" w14:paraId="3939AB51" w14:textId="77777777">
        <w:tc>
          <w:tcPr>
            <w:tcW w:w="7377" w:type="dxa"/>
          </w:tcPr>
          <w:p w14:paraId="07C7C70F" w14:textId="77777777" w:rsidR="009D247E" w:rsidRDefault="001D11D3">
            <w:pPr>
              <w:pStyle w:val="Tablecell"/>
              <w:keepNext/>
            </w:pPr>
            <w:r>
              <w:t xml:space="preserve">Dommage autre facturé au taux horaire des ouvriers et ou du personnel </w:t>
            </w:r>
            <w:r>
              <w:t>d'entretien soit</w:t>
            </w:r>
          </w:p>
        </w:tc>
        <w:tc>
          <w:tcPr>
            <w:tcW w:w="2261" w:type="dxa"/>
          </w:tcPr>
          <w:p w14:paraId="162C36A9" w14:textId="77777777" w:rsidR="009D247E" w:rsidRDefault="001D11D3">
            <w:pPr>
              <w:pStyle w:val="Tablecell"/>
            </w:pPr>
            <w:r>
              <w:t>38€/h</w:t>
            </w:r>
          </w:p>
        </w:tc>
      </w:tr>
    </w:tbl>
    <w:p w14:paraId="746E058F" w14:textId="77777777" w:rsidR="009D247E" w:rsidRDefault="009D247E">
      <w:pPr>
        <w:rPr>
          <w:rFonts w:ascii="Cardana" w:hAnsi="Cardana" w:cs="Arial"/>
          <w:szCs w:val="22"/>
        </w:rPr>
      </w:pPr>
    </w:p>
    <w:p w14:paraId="3BD83590" w14:textId="77777777" w:rsidR="009D247E" w:rsidRDefault="001D11D3">
      <w:pPr>
        <w:jc w:val="center"/>
        <w:rPr>
          <w:rFonts w:ascii="Cardana" w:hAnsi="Cardana" w:cs="Candara"/>
          <w:lang w:eastAsia="fr-BE"/>
        </w:rPr>
      </w:pPr>
      <w:r>
        <w:rPr>
          <w:rFonts w:ascii="Cardana" w:hAnsi="Cardana" w:cs="Candara"/>
          <w:lang w:eastAsia="fr-BE"/>
        </w:rPr>
        <w:t>Par le Conseil,</w:t>
      </w:r>
    </w:p>
    <w:tbl>
      <w:tblPr>
        <w:tblW w:w="9919" w:type="dxa"/>
        <w:tblInd w:w="-142" w:type="dxa"/>
        <w:tblLayout w:type="fixed"/>
        <w:tblLook w:val="04A0" w:firstRow="1" w:lastRow="0" w:firstColumn="1" w:lastColumn="0" w:noHBand="0" w:noVBand="1"/>
      </w:tblPr>
      <w:tblGrid>
        <w:gridCol w:w="4957"/>
        <w:gridCol w:w="4962"/>
      </w:tblGrid>
      <w:tr w:rsidR="009D247E" w14:paraId="167D473D" w14:textId="77777777">
        <w:tc>
          <w:tcPr>
            <w:tcW w:w="4957" w:type="dxa"/>
            <w:vAlign w:val="center"/>
          </w:tcPr>
          <w:p w14:paraId="708B9D77" w14:textId="77777777" w:rsidR="009D247E" w:rsidRDefault="001D11D3">
            <w:pPr>
              <w:jc w:val="center"/>
              <w:rPr>
                <w:rFonts w:ascii="Cardana" w:hAnsi="Cardana" w:cs="Candara"/>
                <w:lang w:eastAsia="fr-BE"/>
              </w:rPr>
            </w:pPr>
            <w:r>
              <w:rPr>
                <w:rFonts w:ascii="Cardana" w:hAnsi="Cardana" w:cs="Candara"/>
                <w:lang w:eastAsia="fr-BE"/>
              </w:rPr>
              <w:t>La Directrice générale,</w:t>
            </w:r>
          </w:p>
          <w:p w14:paraId="3724DB5D" w14:textId="77777777" w:rsidR="009D247E" w:rsidRDefault="001D11D3">
            <w:pPr>
              <w:jc w:val="center"/>
              <w:rPr>
                <w:rFonts w:ascii="Cardana" w:hAnsi="Cardana"/>
              </w:rPr>
            </w:pPr>
            <w:r>
              <w:rPr>
                <w:rFonts w:ascii="Cardana" w:hAnsi="Cardana" w:cs="Candara"/>
                <w:b/>
                <w:bCs/>
                <w:lang w:eastAsia="fr-BE"/>
              </w:rPr>
              <w:t>(s) Charlotte LEDUC</w:t>
            </w:r>
          </w:p>
        </w:tc>
        <w:tc>
          <w:tcPr>
            <w:tcW w:w="4962" w:type="dxa"/>
            <w:vAlign w:val="center"/>
          </w:tcPr>
          <w:p w14:paraId="1C003F73" w14:textId="77777777" w:rsidR="009D247E" w:rsidRDefault="001D11D3">
            <w:pPr>
              <w:jc w:val="center"/>
              <w:rPr>
                <w:rFonts w:ascii="Cardana" w:hAnsi="Cardana" w:cs="Candara"/>
                <w:lang w:eastAsia="fr-BE"/>
              </w:rPr>
            </w:pPr>
            <w:r>
              <w:rPr>
                <w:rFonts w:ascii="Cardana" w:hAnsi="Cardana" w:cs="Candara"/>
                <w:lang w:eastAsia="fr-BE"/>
              </w:rPr>
              <w:t>La Conseillère - Présidente,</w:t>
            </w:r>
          </w:p>
          <w:p w14:paraId="508EEF40" w14:textId="77777777" w:rsidR="009D247E" w:rsidRDefault="001D11D3">
            <w:pPr>
              <w:jc w:val="center"/>
              <w:rPr>
                <w:rFonts w:ascii="Cardana" w:hAnsi="Cardana"/>
              </w:rPr>
            </w:pPr>
            <w:r>
              <w:rPr>
                <w:rFonts w:ascii="Cardana" w:hAnsi="Cardana" w:cs="Candara"/>
                <w:b/>
                <w:bCs/>
                <w:lang w:eastAsia="fr-BE"/>
              </w:rPr>
              <w:t>(s) Andréa DUPLICY</w:t>
            </w:r>
          </w:p>
        </w:tc>
      </w:tr>
    </w:tbl>
    <w:p w14:paraId="5F22B298" w14:textId="77777777" w:rsidR="009D247E" w:rsidRDefault="009D247E">
      <w:pPr>
        <w:tabs>
          <w:tab w:val="center" w:pos="1276"/>
          <w:tab w:val="center" w:pos="7797"/>
        </w:tabs>
        <w:jc w:val="center"/>
        <w:rPr>
          <w:rFonts w:ascii="Cardana" w:hAnsi="Cardana" w:cs="Arial"/>
          <w:sz w:val="20"/>
        </w:rPr>
      </w:pPr>
    </w:p>
    <w:tbl>
      <w:tblPr>
        <w:tblW w:w="9919" w:type="dxa"/>
        <w:tblInd w:w="-142" w:type="dxa"/>
        <w:tblLayout w:type="fixed"/>
        <w:tblLook w:val="04A0" w:firstRow="1" w:lastRow="0" w:firstColumn="1" w:lastColumn="0" w:noHBand="0" w:noVBand="1"/>
      </w:tblPr>
      <w:tblGrid>
        <w:gridCol w:w="4957"/>
        <w:gridCol w:w="4962"/>
      </w:tblGrid>
      <w:tr w:rsidR="009D247E" w14:paraId="2FC17BF9" w14:textId="77777777">
        <w:tc>
          <w:tcPr>
            <w:tcW w:w="9919" w:type="dxa"/>
            <w:gridSpan w:val="2"/>
            <w:vAlign w:val="center"/>
          </w:tcPr>
          <w:p w14:paraId="512A5D57" w14:textId="77777777" w:rsidR="009D247E" w:rsidRDefault="001D11D3">
            <w:pPr>
              <w:jc w:val="center"/>
              <w:rPr>
                <w:rFonts w:ascii="Cardana" w:hAnsi="Cardana" w:cs="Candara"/>
                <w:lang w:eastAsia="fr-BE"/>
              </w:rPr>
            </w:pPr>
            <w:r>
              <w:rPr>
                <w:rFonts w:ascii="Cardana" w:hAnsi="Cardana" w:cs="Candara"/>
                <w:lang w:eastAsia="fr-BE"/>
              </w:rPr>
              <w:t>Pour extrait conforme :</w:t>
            </w:r>
          </w:p>
          <w:p w14:paraId="614BB090" w14:textId="77777777" w:rsidR="009D247E" w:rsidRDefault="009D247E">
            <w:pPr>
              <w:jc w:val="center"/>
              <w:rPr>
                <w:rFonts w:ascii="Cardana" w:hAnsi="Cardana" w:cs="Candara"/>
                <w:lang w:eastAsia="fr-BE"/>
              </w:rPr>
            </w:pPr>
          </w:p>
        </w:tc>
      </w:tr>
      <w:tr w:rsidR="009D247E" w14:paraId="67155B01" w14:textId="77777777">
        <w:tc>
          <w:tcPr>
            <w:tcW w:w="4957" w:type="dxa"/>
            <w:vAlign w:val="center"/>
          </w:tcPr>
          <w:p w14:paraId="2CBDDC5F" w14:textId="77777777" w:rsidR="009D247E" w:rsidRDefault="001D11D3">
            <w:pPr>
              <w:jc w:val="center"/>
              <w:rPr>
                <w:rFonts w:ascii="Cardana" w:hAnsi="Cardana"/>
              </w:rPr>
            </w:pPr>
            <w:r>
              <w:rPr>
                <w:rFonts w:ascii="Cardana" w:hAnsi="Cardana" w:cs="Candara"/>
                <w:lang w:eastAsia="fr-BE"/>
              </w:rPr>
              <w:t>La Directrice générale,</w:t>
            </w:r>
          </w:p>
          <w:p w14:paraId="0ABBE4FC" w14:textId="77777777" w:rsidR="009D247E" w:rsidRDefault="009D247E">
            <w:pPr>
              <w:jc w:val="center"/>
              <w:rPr>
                <w:rFonts w:ascii="Cardana" w:hAnsi="Cardana" w:cs="Candara"/>
                <w:lang w:eastAsia="fr-BE"/>
              </w:rPr>
            </w:pPr>
          </w:p>
          <w:p w14:paraId="654C3B10" w14:textId="77777777" w:rsidR="009D247E" w:rsidRDefault="009D247E">
            <w:pPr>
              <w:jc w:val="center"/>
              <w:rPr>
                <w:rFonts w:ascii="Cardana" w:hAnsi="Cardana" w:cs="Candara"/>
                <w:lang w:eastAsia="fr-BE"/>
              </w:rPr>
            </w:pPr>
          </w:p>
          <w:p w14:paraId="3882B266" w14:textId="77777777" w:rsidR="009D247E" w:rsidRDefault="001D11D3">
            <w:pPr>
              <w:jc w:val="center"/>
              <w:rPr>
                <w:rFonts w:ascii="Cardana" w:hAnsi="Cardana" w:cs="Candara"/>
                <w:b/>
                <w:bCs/>
                <w:lang w:eastAsia="fr-BE"/>
              </w:rPr>
            </w:pPr>
            <w:r>
              <w:rPr>
                <w:rFonts w:ascii="Cardana" w:hAnsi="Cardana" w:cs="Candara"/>
                <w:b/>
                <w:bCs/>
                <w:lang w:eastAsia="fr-BE"/>
              </w:rPr>
              <w:t>Charlotte LEDUC</w:t>
            </w:r>
          </w:p>
        </w:tc>
        <w:tc>
          <w:tcPr>
            <w:tcW w:w="4962" w:type="dxa"/>
            <w:vAlign w:val="center"/>
          </w:tcPr>
          <w:p w14:paraId="0902C7E1" w14:textId="77777777" w:rsidR="009D247E" w:rsidRDefault="001D11D3">
            <w:pPr>
              <w:jc w:val="center"/>
              <w:rPr>
                <w:rFonts w:ascii="Cardana" w:hAnsi="Cardana" w:cs="Candara"/>
                <w:lang w:eastAsia="fr-BE"/>
              </w:rPr>
            </w:pPr>
            <w:r>
              <w:rPr>
                <w:rFonts w:ascii="Cardana" w:hAnsi="Cardana" w:cs="Candara"/>
                <w:lang w:eastAsia="fr-BE"/>
              </w:rPr>
              <w:t>Le Bourgmestre,</w:t>
            </w:r>
          </w:p>
          <w:p w14:paraId="4ABAA787" w14:textId="77777777" w:rsidR="009D247E" w:rsidRDefault="009D247E">
            <w:pPr>
              <w:jc w:val="center"/>
              <w:rPr>
                <w:rFonts w:ascii="Cardana" w:hAnsi="Cardana" w:cs="Candara"/>
                <w:lang w:eastAsia="fr-BE"/>
              </w:rPr>
            </w:pPr>
          </w:p>
          <w:p w14:paraId="75B9C6FF" w14:textId="77777777" w:rsidR="009D247E" w:rsidRDefault="009D247E">
            <w:pPr>
              <w:jc w:val="center"/>
              <w:rPr>
                <w:rFonts w:ascii="Cardana" w:hAnsi="Cardana" w:cs="Candara"/>
                <w:lang w:eastAsia="fr-BE"/>
              </w:rPr>
            </w:pPr>
          </w:p>
          <w:p w14:paraId="7314267C" w14:textId="77777777" w:rsidR="009D247E" w:rsidRDefault="001D11D3">
            <w:pPr>
              <w:jc w:val="center"/>
              <w:rPr>
                <w:rFonts w:ascii="Cardana" w:hAnsi="Cardana" w:cs="Candara"/>
                <w:b/>
                <w:bCs/>
                <w:lang w:eastAsia="fr-BE"/>
              </w:rPr>
            </w:pPr>
            <w:r>
              <w:rPr>
                <w:rFonts w:ascii="Cardana" w:hAnsi="Cardana" w:cs="Candara"/>
                <w:b/>
                <w:bCs/>
                <w:lang w:eastAsia="fr-BE"/>
              </w:rPr>
              <w:t>Pierre PIRARD</w:t>
            </w:r>
          </w:p>
        </w:tc>
      </w:tr>
    </w:tbl>
    <w:p w14:paraId="39512E39" w14:textId="77777777" w:rsidR="009D247E" w:rsidRDefault="009D247E">
      <w:pPr>
        <w:tabs>
          <w:tab w:val="center" w:pos="1276"/>
          <w:tab w:val="center" w:pos="7797"/>
        </w:tabs>
        <w:jc w:val="both"/>
        <w:rPr>
          <w:rFonts w:cs="Arial"/>
          <w:sz w:val="4"/>
          <w:szCs w:val="4"/>
          <w:lang w:eastAsia="en-US"/>
        </w:rPr>
      </w:pPr>
    </w:p>
    <w:sectPr w:rsidR="009D247E">
      <w:pgSz w:w="11906" w:h="16838"/>
      <w:pgMar w:top="680" w:right="1134" w:bottom="720" w:left="1134" w:header="0" w:footer="0" w:gutter="0"/>
      <w:pgNumType w:start="1"/>
      <w:cols w:space="720"/>
      <w:formProt w:val="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 w:name="Liberation Sans">
    <w:altName w:val="Arial"/>
    <w:panose1 w:val="020B0604020202020204"/>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rdana">
    <w:altName w:val="Calibri"/>
    <w:charset w:val="01"/>
    <w:family w:val="auto"/>
    <w:pitch w:val="default"/>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4CB3598"/>
    <w:multiLevelType w:val="multilevel"/>
    <w:tmpl w:val="8C2847C8"/>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31CA5EBE"/>
    <w:multiLevelType w:val="multilevel"/>
    <w:tmpl w:val="B31E2BCE"/>
    <w:lvl w:ilvl="0">
      <w:start w:val="1"/>
      <w:numFmt w:val="none"/>
      <w:pStyle w:val="Titre1"/>
      <w:suff w:val="nothing"/>
      <w:lvlText w:val="%1"/>
      <w:lvlJc w:val="left"/>
      <w:pPr>
        <w:tabs>
          <w:tab w:val="num" w:pos="0"/>
        </w:tabs>
        <w:ind w:left="0" w:firstLine="0"/>
      </w:pPr>
    </w:lvl>
    <w:lvl w:ilvl="1">
      <w:start w:val="1"/>
      <w:numFmt w:val="none"/>
      <w:pStyle w:val="Titre2"/>
      <w:suff w:val="nothing"/>
      <w:lvlText w:val="%2"/>
      <w:lvlJc w:val="left"/>
      <w:pPr>
        <w:tabs>
          <w:tab w:val="num" w:pos="0"/>
        </w:tabs>
        <w:ind w:left="0" w:firstLine="0"/>
      </w:pPr>
    </w:lvl>
    <w:lvl w:ilvl="2">
      <w:start w:val="1"/>
      <w:numFmt w:val="none"/>
      <w:pStyle w:val="Titre3"/>
      <w:suff w:val="nothing"/>
      <w:lvlText w:val="%3"/>
      <w:lvlJc w:val="left"/>
      <w:pPr>
        <w:tabs>
          <w:tab w:val="num" w:pos="0"/>
        </w:tabs>
        <w:ind w:left="0" w:firstLine="0"/>
      </w:pPr>
    </w:lvl>
    <w:lvl w:ilvl="3">
      <w:start w:val="1"/>
      <w:numFmt w:val="none"/>
      <w:pStyle w:val="Titre4"/>
      <w:suff w:val="nothing"/>
      <w:lvlText w:val="%4"/>
      <w:lvlJc w:val="left"/>
      <w:pPr>
        <w:tabs>
          <w:tab w:val="num" w:pos="0"/>
        </w:tabs>
        <w:ind w:left="0" w:firstLine="0"/>
      </w:pPr>
    </w:lvl>
    <w:lvl w:ilvl="4">
      <w:start w:val="1"/>
      <w:numFmt w:val="none"/>
      <w:pStyle w:val="Titre5"/>
      <w:suff w:val="nothing"/>
      <w:lvlText w:val="%5"/>
      <w:lvlJc w:val="left"/>
      <w:pPr>
        <w:tabs>
          <w:tab w:val="num" w:pos="0"/>
        </w:tabs>
        <w:ind w:left="0" w:firstLine="0"/>
      </w:pPr>
    </w:lvl>
    <w:lvl w:ilvl="5">
      <w:start w:val="1"/>
      <w:numFmt w:val="none"/>
      <w:pStyle w:val="Titre6"/>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 w15:restartNumberingAfterBreak="0">
    <w:nsid w:val="42BD1D28"/>
    <w:multiLevelType w:val="multilevel"/>
    <w:tmpl w:val="616CFB42"/>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636A32BB"/>
    <w:multiLevelType w:val="multilevel"/>
    <w:tmpl w:val="B866AF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7E5D788C"/>
    <w:multiLevelType w:val="multilevel"/>
    <w:tmpl w:val="A4EC749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155026384">
    <w:abstractNumId w:val="1"/>
  </w:num>
  <w:num w:numId="2" w16cid:durableId="1368722102">
    <w:abstractNumId w:val="0"/>
  </w:num>
  <w:num w:numId="3" w16cid:durableId="124660977">
    <w:abstractNumId w:val="2"/>
  </w:num>
  <w:num w:numId="4" w16cid:durableId="1929265743">
    <w:abstractNumId w:val="3"/>
  </w:num>
  <w:num w:numId="5" w16cid:durableId="2409922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47E"/>
    <w:rsid w:val="001D11D3"/>
    <w:rsid w:val="009D247E"/>
    <w:rsid w:val="00F3314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50F96"/>
  <w15:docId w15:val="{17672353-217C-4E14-A7C4-5C8A59AA5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Noto Serif CJK SC" w:hAnsi="Times New Roman" w:cs="Lohit Devanagari"/>
        <w:kern w:val="2"/>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ndara" w:hAnsi="Candara"/>
      <w:sz w:val="22"/>
    </w:rPr>
  </w:style>
  <w:style w:type="paragraph" w:styleId="Titre1">
    <w:name w:val="heading 1"/>
    <w:basedOn w:val="Heading"/>
    <w:next w:val="Normal"/>
    <w:uiPriority w:val="9"/>
    <w:qFormat/>
    <w:pPr>
      <w:numPr>
        <w:numId w:val="1"/>
      </w:numPr>
      <w:outlineLvl w:val="0"/>
    </w:pPr>
    <w:rPr>
      <w:b/>
      <w:bCs/>
      <w:sz w:val="36"/>
      <w:szCs w:val="36"/>
    </w:rPr>
  </w:style>
  <w:style w:type="paragraph" w:styleId="Titre2">
    <w:name w:val="heading 2"/>
    <w:basedOn w:val="Heading"/>
    <w:next w:val="Normal"/>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Normal"/>
    <w:uiPriority w:val="9"/>
    <w:semiHidden/>
    <w:unhideWhenUsed/>
    <w:qFormat/>
    <w:pPr>
      <w:numPr>
        <w:ilvl w:val="2"/>
        <w:numId w:val="1"/>
      </w:numPr>
      <w:spacing w:before="140"/>
      <w:outlineLvl w:val="2"/>
    </w:pPr>
    <w:rPr>
      <w:b/>
      <w:bCs/>
      <w:color w:val="808080"/>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StrongEmphasis">
    <w:name w:val="Strong Emphasis"/>
    <w:basedOn w:val="Policepardfaut"/>
    <w:qFormat/>
    <w:rPr>
      <w:b/>
      <w:bCs/>
    </w:rPr>
  </w:style>
  <w:style w:type="character" w:customStyle="1" w:styleId="wXS1pod">
    <w:name w:val="wXS1pod"/>
    <w:qFormat/>
    <w:rPr>
      <w:b/>
      <w:u w:val="single"/>
    </w:rPr>
  </w:style>
  <w:style w:type="character" w:customStyle="1" w:styleId="wXS2pod">
    <w:name w:val="wXS2pod"/>
    <w:qFormat/>
    <w:rPr>
      <w:strike/>
    </w:rPr>
  </w:style>
  <w:style w:type="character" w:customStyle="1" w:styleId="wXS3pod">
    <w:name w:val="wXS3pod"/>
    <w:qFormat/>
    <w:rPr>
      <w:b/>
    </w:rPr>
  </w:style>
  <w:style w:type="character" w:customStyle="1" w:styleId="wXS4pod">
    <w:name w:val="wXS4pod"/>
    <w:qFormat/>
    <w:rPr>
      <w:i/>
    </w:rPr>
  </w:style>
  <w:style w:type="character" w:customStyle="1" w:styleId="wXS8pod">
    <w:name w:val="wXS8pod"/>
    <w:qFormat/>
    <w:rPr>
      <w:i/>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ascii="Liberation Sans" w:eastAsia="Noto Sans CJK SC" w:hAnsi="Liberation Sans"/>
      <w:sz w:val="28"/>
      <w:szCs w:val="28"/>
    </w:rPr>
  </w:style>
  <w:style w:type="paragraph" w:styleId="Corpsdetexte">
    <w:name w:val="Body Text"/>
    <w:basedOn w:val="Normal"/>
    <w:pPr>
      <w:spacing w:after="140" w:line="276" w:lineRule="auto"/>
    </w:pPr>
  </w:style>
  <w:style w:type="paragraph" w:customStyle="1" w:styleId="podPageBreakBefore">
    <w:name w:val="podPageBreakBefore"/>
    <w:qFormat/>
    <w:pPr>
      <w:pageBreakBefore/>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rPr>
      <w:sz w:val="4"/>
    </w:rPr>
  </w:style>
  <w:style w:type="paragraph" w:customStyle="1" w:styleId="podColumnBreak">
    <w:name w:val="podColumnBreak"/>
    <w:qFormat/>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rPr>
      <w:rFonts w:ascii="Times New Roman" w:hAnsi="Times New Roman"/>
    </w:rPr>
  </w:style>
  <w:style w:type="paragraph" w:styleId="Lgende">
    <w:name w:val="caption"/>
    <w:basedOn w:val="Normal"/>
    <w:qFormat/>
    <w:pPr>
      <w:suppressLineNumbers/>
      <w:spacing w:before="120" w:after="120"/>
    </w:pPr>
    <w:rPr>
      <w:rFonts w:ascii="Times New Roman" w:hAnsi="Times New Roman"/>
      <w:i/>
      <w:iCs/>
      <w:sz w:val="24"/>
    </w:rPr>
  </w:style>
  <w:style w:type="paragraph" w:customStyle="1" w:styleId="Index">
    <w:name w:val="Index"/>
    <w:basedOn w:val="Normal"/>
    <w:qFormat/>
    <w:pPr>
      <w:suppressLineNumbers/>
    </w:pPr>
    <w:rPr>
      <w:rFonts w:ascii="Times New Roman" w:hAnsi="Times New Roman"/>
    </w:rPr>
  </w:style>
  <w:style w:type="paragraph" w:customStyle="1" w:styleId="FrameContents">
    <w:name w:val="Frame Contents"/>
    <w:basedOn w:val="Normal"/>
    <w:qFormat/>
  </w:style>
  <w:style w:type="paragraph" w:customStyle="1" w:styleId="TableContents">
    <w:name w:val="Table Contents"/>
    <w:basedOn w:val="Normal"/>
    <w:qFormat/>
    <w:pPr>
      <w:suppressLineNumbers/>
    </w:pPr>
  </w:style>
  <w:style w:type="paragraph" w:customStyle="1" w:styleId="Standard2">
    <w:name w:val="Standard2"/>
    <w:qFormat/>
    <w:rPr>
      <w:rFonts w:ascii="Tahoma" w:hAnsi="Tahoma"/>
      <w:sz w:val="20"/>
    </w:rPr>
  </w:style>
  <w:style w:type="paragraph" w:customStyle="1" w:styleId="wXS5pod">
    <w:name w:val="wXS5pod"/>
    <w:basedOn w:val="Normal"/>
    <w:qFormat/>
    <w:pPr>
      <w:jc w:val="both"/>
    </w:pPr>
  </w:style>
  <w:style w:type="paragraph" w:customStyle="1" w:styleId="wXS6pod">
    <w:name w:val="wXS6pod"/>
    <w:basedOn w:val="Normal"/>
    <w:qFormat/>
    <w:pPr>
      <w:ind w:left="244"/>
      <w:jc w:val="both"/>
    </w:pPr>
  </w:style>
  <w:style w:type="paragraph" w:customStyle="1" w:styleId="wXS7pod">
    <w:name w:val="wXS7pod"/>
    <w:basedOn w:val="podBulletItem"/>
    <w:qFormat/>
    <w:pPr>
      <w:jc w:val="both"/>
    </w:pPr>
  </w:style>
  <w:style w:type="paragraph" w:customStyle="1" w:styleId="wXS9pod">
    <w:name w:val="wXS9pod"/>
    <w:basedOn w:val="Normal"/>
    <w:qFormat/>
    <w:pPr>
      <w:ind w:left="359"/>
    </w:pPr>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B790A00134484B9ACFC9BF00FD5F77" ma:contentTypeVersion="13" ma:contentTypeDescription="Crée un document." ma:contentTypeScope="" ma:versionID="a28bdeed397d68b6f68369d698f01346">
  <xsd:schema xmlns:xsd="http://www.w3.org/2001/XMLSchema" xmlns:xs="http://www.w3.org/2001/XMLSchema" xmlns:p="http://schemas.microsoft.com/office/2006/metadata/properties" xmlns:ns2="4e4171fa-5a70-430d-be33-a67bf588d006" xmlns:ns3="6eb7c49d-6038-434b-8b74-e9169d034ef4" targetNamespace="http://schemas.microsoft.com/office/2006/metadata/properties" ma:root="true" ma:fieldsID="b515aceb9a420fcc79116b0f0f33333b" ns2:_="" ns3:_="">
    <xsd:import namespace="4e4171fa-5a70-430d-be33-a67bf588d006"/>
    <xsd:import namespace="6eb7c49d-6038-434b-8b74-e9169d034ef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4171fa-5a70-430d-be33-a67bf588d0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5b3b8789-1447-4350-bfc5-be47c10392b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b7c49d-6038-434b-8b74-e9169d034ef4"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a1790423-c0a2-408e-99db-55e7e88929df}" ma:internalName="TaxCatchAll" ma:showField="CatchAllData" ma:web="6eb7c49d-6038-434b-8b74-e9169d034e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eb7c49d-6038-434b-8b74-e9169d034ef4" xsi:nil="true"/>
    <lcf76f155ced4ddcb4097134ff3c332f xmlns="4e4171fa-5a70-430d-be33-a67bf588d00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BFE0D7-FAB4-4EF7-BE78-15C86A2817D0}"/>
</file>

<file path=customXml/itemProps2.xml><?xml version="1.0" encoding="utf-8"?>
<ds:datastoreItem xmlns:ds="http://schemas.openxmlformats.org/officeDocument/2006/customXml" ds:itemID="{6D878E46-7230-45B2-AD3C-91DEDA2A0455}"/>
</file>

<file path=customXml/itemProps3.xml><?xml version="1.0" encoding="utf-8"?>
<ds:datastoreItem xmlns:ds="http://schemas.openxmlformats.org/officeDocument/2006/customXml" ds:itemID="{46DC3102-7474-4C2A-80FA-59F664455FCF}"/>
</file>

<file path=docProps/app.xml><?xml version="1.0" encoding="utf-8"?>
<Properties xmlns="http://schemas.openxmlformats.org/officeDocument/2006/extended-properties" xmlns:vt="http://schemas.openxmlformats.org/officeDocument/2006/docPropsVTypes">
  <Template>Normal</Template>
  <TotalTime>0</TotalTime>
  <Pages>5</Pages>
  <Words>1903</Words>
  <Characters>10472</Characters>
  <Application>Microsoft Office Word</Application>
  <DocSecurity>0</DocSecurity>
  <Lines>87</Lines>
  <Paragraphs>24</Paragraphs>
  <ScaleCrop>false</ScaleCrop>
  <Company/>
  <LinksUpToDate>false</LinksUpToDate>
  <CharactersWithSpaces>12351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tmpLDRjY5</dc:title>
  <dc:subject/>
  <dc:creator>André NUYENS</dc:creator>
  <dc:description/>
  <cp:lastModifiedBy>Charlotte Leduc</cp:lastModifiedBy>
  <cp:revision>2</cp:revision>
  <cp:lastPrinted>2024-07-30T15:33:00Z</cp:lastPrinted>
  <dcterms:created xsi:type="dcterms:W3CDTF">2024-07-30T15:33:00Z</dcterms:created>
  <dcterms:modified xsi:type="dcterms:W3CDTF">2024-07-30T15:33:00Z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0x01010028B790A00134484B9ACFC9BF00FD5F77</vt:lpwstr>
  </property>
  <property fmtid="{D5CDD505-2E9C-101B-9397-08002B2CF9AE}" pid="3" name="MediaServiceImageTags">
    <vt:lpwstr/>
  </property>
</Properties>
</file>